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No. 0-18492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DLH HOLDINGS CORP.</w:t>
      </w:r>
    </w:p>
    <w:p>
      <w:pPr>
        <w:pStyle w:val="TextBody"/>
        <w:bidi w:val="0"/>
        <w:spacing w:lineRule="auto" w:line="288" w:before="0" w:after="1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472" w:type="dxa"/>
        <w:jc w:val="center"/>
        <w:tblInd w:w="0" w:type="dxa"/>
        <w:tblLayout w:type="fixed"/>
        <w:tblCellMar>
          <w:top w:w="28" w:type="dxa"/>
          <w:left w:w="28" w:type="dxa"/>
          <w:bottom w:w="28" w:type="dxa"/>
          <w:right w:w="28" w:type="dxa"/>
        </w:tblCellMar>
      </w:tblPr>
      <w:tblGrid>
        <w:gridCol w:w="181"/>
        <w:gridCol w:w="159"/>
        <w:gridCol w:w="159"/>
        <w:gridCol w:w="159"/>
        <w:gridCol w:w="159"/>
        <w:gridCol w:w="159"/>
        <w:gridCol w:w="159"/>
        <w:gridCol w:w="159"/>
        <w:gridCol w:w="159"/>
        <w:gridCol w:w="159"/>
        <w:gridCol w:w="159"/>
        <w:gridCol w:w="159"/>
        <w:gridCol w:w="109"/>
        <w:gridCol w:w="109"/>
        <w:gridCol w:w="109"/>
        <w:gridCol w:w="356"/>
        <w:gridCol w:w="356"/>
        <w:gridCol w:w="503"/>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9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u w:val="single"/>
              </w:rPr>
            </w:pPr>
            <w:r>
              <w:rPr>
                <w:rFonts w:ascii="Times New Roman;serif" w:hAnsi="Times New Roman;serif"/>
                <w:b/>
                <w:color w:val="000000"/>
                <w:sz w:val="14"/>
                <w:u w:val="single"/>
              </w:rPr>
              <w:t>22-1899798</w:t>
            </w:r>
          </w:p>
        </w:tc>
      </w:tr>
      <w:tr>
        <w:trPr/>
        <w:tc>
          <w:tcPr>
            <w:tcW w:w="193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(I.R.S. Employer </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01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 xml:space="preserve">3565 Piedmont Road, Building 3, Suite 700 </w:t>
      </w:r>
    </w:p>
    <w:p>
      <w:pPr>
        <w:pStyle w:val="TextBody"/>
        <w:bidi w:val="0"/>
        <w:spacing w:lineRule="auto" w:line="288" w:before="100" w:after="283"/>
        <w:jc w:val="center"/>
        <w:rPr/>
      </w:pPr>
      <w:r>
        <w:rPr>
          <w:rFonts w:ascii="Times New Roman;serif" w:hAnsi="Times New Roman;serif"/>
          <w:b/>
          <w:color w:val="000000"/>
          <w:sz w:val="16"/>
        </w:rPr>
        <w:t>Atlanta, GA 30305</w:t>
      </w:r>
      <w:r>
        <w:rPr>
          <w:rFonts w:ascii="Times New Roman;serif" w:hAnsi="Times New Roman;serif"/>
          <w:b/>
          <w:color w:val="000000"/>
          <w:sz w:val="20"/>
        </w:rPr>
        <w:br/>
      </w:r>
      <w:r>
        <w:rPr>
          <w:rFonts w:ascii="Times New Roman;serif" w:hAnsi="Times New Roman;serif"/>
          <w:b w:val="false"/>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(770) 554-3545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585"/>
        <w:gridCol w:w="514"/>
        <w:gridCol w:w="520"/>
        <w:gridCol w:w="564"/>
        <w:gridCol w:w="564"/>
        <w:gridCol w:w="566"/>
        <w:gridCol w:w="593"/>
        <w:gridCol w:w="593"/>
        <w:gridCol w:w="593"/>
        <w:gridCol w:w="593"/>
        <w:gridCol w:w="593"/>
        <w:gridCol w:w="85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DLHC</w:t>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Nasdaq</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6"/>
        </w:rPr>
        <w:t>o</w:t>
      </w:r>
    </w:p>
    <w:p>
      <w:pPr>
        <w:pStyle w:val="TextBody"/>
        <w:bidi w:val="0"/>
        <w:spacing w:lineRule="auto" w:line="288" w:before="8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6"/>
        </w:rPr>
        <w:t>o</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16"/>
        </w:rPr>
        <w:t>Indicate the number of shares outstanding of each of the issuer’s classes of common stock, as of the latest practicable date: 14,493,035 shares of Common Stock, par value $0.001</w:t>
      </w:r>
      <w:r>
        <w:rPr>
          <w:color w:val="000000"/>
        </w:rPr>
        <w:t xml:space="preserve"> </w:t>
      </w:r>
      <w:r>
        <w:rPr>
          <w:rFonts w:ascii="Times New Roman;serif" w:hAnsi="Times New Roman;serif"/>
          <w:b w:val="false"/>
          <w:color w:val="000000"/>
          <w:sz w:val="16"/>
        </w:rPr>
        <w:t>per share, were outstanding as of July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100" w:after="283"/>
        <w:jc w:val="right"/>
        <w:rPr>
          <w:rFonts w:ascii="Times New Roman;serif" w:hAnsi="Times New Roman;serif"/>
          <w:b/>
          <w:color w:val="000000"/>
          <w:sz w:val="20"/>
          <w:u w:val="single"/>
        </w:rPr>
      </w:pPr>
      <w:r>
        <w:rPr>
          <w:rFonts w:ascii="Times New Roman;serif" w:hAnsi="Times New Roman;serif"/>
          <w:b/>
          <w:color w:val="000000"/>
          <w:sz w:val="20"/>
          <w:u w:val="single"/>
        </w:rPr>
        <w:t>Page No.</w:t>
      </w:r>
    </w:p>
    <w:tbl>
      <w:tblPr>
        <w:tblW w:w="10205" w:type="dxa"/>
        <w:jc w:val="left"/>
        <w:tblInd w:w="0" w:type="dxa"/>
        <w:tblLayout w:type="fixed"/>
        <w:tblCellMar>
          <w:top w:w="28" w:type="dxa"/>
          <w:left w:w="28" w:type="dxa"/>
          <w:bottom w:w="28" w:type="dxa"/>
          <w:right w:w="28" w:type="dxa"/>
        </w:tblCellMar>
      </w:tblPr>
      <w:tblGrid>
        <w:gridCol w:w="3566"/>
        <w:gridCol w:w="3127"/>
        <w:gridCol w:w="3138"/>
        <w:gridCol w:w="109"/>
        <w:gridCol w:w="109"/>
        <w:gridCol w:w="156"/>
      </w:tblGrid>
      <w:tr>
        <w:trPr/>
        <w:tc>
          <w:tcPr>
            <w:tcW w:w="3566"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32504a297241729639b851a454c3e0">
              <w:r>
                <w:rPr>
                  <w:rStyle w:val="InternetLink"/>
                  <w:rFonts w:ascii="Times New Roman;serif" w:hAnsi="Times New Roman;serif"/>
                  <w:b/>
                  <w:strike w:val="false"/>
                  <w:dstrike w:val="false"/>
                  <w:color w:val="3051F2"/>
                  <w:sz w:val="20"/>
                  <w:u w:val="none"/>
                  <w:effect w:val="none"/>
                </w:rPr>
                <w:t>PART I FINANCIAL INFORMATION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b32504a297241729639b851a454c3e0">
              <w:r>
                <w:rPr>
                  <w:rStyle w:val="InternetLink"/>
                  <w:rFonts w:ascii="Times New Roman;serif" w:hAnsi="Times New Roman;serif"/>
                  <w:b/>
                  <w:strike w:val="false"/>
                  <w:dstrike w:val="false"/>
                  <w:color w:val="3051F2"/>
                  <w:sz w:val="20"/>
                  <w:u w:val="none"/>
                  <w:effect w:val="none"/>
                </w:rPr>
                <w:t>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168afd9933647a7ac8bd1ad598e9157">
              <w:r>
                <w:rPr>
                  <w:rStyle w:val="InternetLink"/>
                  <w:rFonts w:ascii="Times New Roman;serif" w:hAnsi="Times New Roman;serif"/>
                  <w:b w:val="false"/>
                  <w:strike w:val="false"/>
                  <w:dstrike w:val="false"/>
                  <w:color w:val="3051F2"/>
                  <w:sz w:val="20"/>
                  <w:u w:val="none"/>
                  <w:effect w:val="none"/>
                </w:rPr>
                <w:t>ITEM 1: FINANCIAL STATEMENTS (UNAUDITED)</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168afd9933647a7ac8bd1ad598e9157">
              <w:r>
                <w:rPr>
                  <w:rStyle w:val="InternetLink"/>
                  <w:rFonts w:ascii="Times New Roman;serif" w:hAnsi="Times New Roman;serif"/>
                  <w:b w:val="false"/>
                  <w:strike w:val="false"/>
                  <w:dstrike w:val="false"/>
                  <w:color w:val="3051F2"/>
                  <w:sz w:val="20"/>
                  <w:u w:val="none"/>
                  <w:effect w:val="none"/>
                </w:rPr>
                <w:t>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cbeb4b518974d558ececbcef4c0d937">
              <w:r>
                <w:rPr>
                  <w:rStyle w:val="InternetLink"/>
                  <w:rFonts w:ascii="Times New Roman;serif" w:hAnsi="Times New Roman;serif"/>
                  <w:b w:val="false"/>
                  <w:strike w:val="false"/>
                  <w:dstrike w:val="false"/>
                  <w:color w:val="3051F2"/>
                  <w:sz w:val="20"/>
                  <w:u w:val="none"/>
                  <w:effect w:val="none"/>
                </w:rPr>
                <w:t>CONSOLIDATED STATEMENTS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cbeb4b518974d558ececbcef4c0d937">
              <w:r>
                <w:rPr>
                  <w:rStyle w:val="InternetLink"/>
                  <w:rFonts w:ascii="Times New Roman;serif" w:hAnsi="Times New Roman;serif"/>
                  <w:b w:val="false"/>
                  <w:strike w:val="false"/>
                  <w:dstrike w:val="false"/>
                  <w:color w:val="3051F2"/>
                  <w:sz w:val="20"/>
                  <w:u w:val="none"/>
                  <w:effect w:val="none"/>
                </w:rPr>
                <w:t>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c3d51bae44591947e959fbee4eef4">
              <w:r>
                <w:rPr>
                  <w:rStyle w:val="InternetLink"/>
                  <w:rFonts w:ascii="Times New Roman;serif" w:hAnsi="Times New Roman;serif"/>
                  <w:b w:val="false"/>
                  <w:strike w:val="false"/>
                  <w:dstrike w:val="false"/>
                  <w:color w:val="3051F2"/>
                  <w:sz w:val="20"/>
                  <w:u w:val="none"/>
                  <w:effect w:val="none"/>
                </w:rPr>
                <w:t>CONSOLIDATED BALANCE SHEETS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35c3d51bae44591947e959fbee4eef4">
              <w:r>
                <w:rPr>
                  <w:rStyle w:val="InternetLink"/>
                  <w:rFonts w:ascii="Times New Roman;serif" w:hAnsi="Times New Roman;serif"/>
                  <w:b w:val="false"/>
                  <w:strike w:val="false"/>
                  <w:dstrike w:val="false"/>
                  <w:color w:val="3051F2"/>
                  <w:sz w:val="20"/>
                  <w:u w:val="none"/>
                  <w:effect w:val="none"/>
                </w:rPr>
                <w:t>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1cc93b396c54ccfa0b4ed7da77bf013">
              <w:r>
                <w:rPr>
                  <w:rStyle w:val="InternetLink"/>
                  <w:rFonts w:ascii="Times New Roman;serif" w:hAnsi="Times New Roman;serif"/>
                  <w:b w:val="false"/>
                  <w:strike w:val="false"/>
                  <w:dstrike w:val="false"/>
                  <w:color w:val="3051F2"/>
                  <w:sz w:val="20"/>
                  <w:u w:val="none"/>
                  <w:effect w:val="none"/>
                </w:rPr>
                <w:t>CONSOLIDATED STATEMENTS OF CASH FLOWS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1cc93b396c54ccfa0b4ed7da77bf013">
              <w:r>
                <w:rPr>
                  <w:rStyle w:val="InternetLink"/>
                  <w:rFonts w:ascii="Times New Roman;serif" w:hAnsi="Times New Roman;serif"/>
                  <w:b w:val="false"/>
                  <w:strike w:val="false"/>
                  <w:dstrike w:val="false"/>
                  <w:color w:val="3051F2"/>
                  <w:sz w:val="20"/>
                  <w:u w:val="none"/>
                  <w:effect w:val="none"/>
                </w:rPr>
                <w:t>5</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7b6db282c6d42019fe429fea85ede46">
              <w:r>
                <w:rPr>
                  <w:rStyle w:val="InternetLink"/>
                  <w:rFonts w:ascii="Times New Roman;serif" w:hAnsi="Times New Roman;serif"/>
                  <w:b w:val="false"/>
                  <w:strike w:val="false"/>
                  <w:dstrike w:val="false"/>
                  <w:color w:val="3051F2"/>
                  <w:sz w:val="20"/>
                  <w:u w:val="none"/>
                  <w:effect w:val="none"/>
                </w:rPr>
                <w:t>CONSOLIDATED STATEMENTS OF SHAREHOLDERS' EQUITY</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7b6db282c6d42019fe429fea85ede46">
              <w:r>
                <w:rPr>
                  <w:rStyle w:val="InternetLink"/>
                  <w:rFonts w:ascii="Times New Roman;serif" w:hAnsi="Times New Roman;serif"/>
                  <w:b w:val="false"/>
                  <w:strike w:val="false"/>
                  <w:dstrike w:val="false"/>
                  <w:color w:val="3051F2"/>
                  <w:sz w:val="20"/>
                  <w:u w:val="none"/>
                  <w:effect w:val="none"/>
                </w:rPr>
                <w:t>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449e82f4e34eeea7c034e2deefb1f2">
              <w:r>
                <w:rPr>
                  <w:rStyle w:val="InternetLink"/>
                  <w:rFonts w:ascii="Times New Roman;serif" w:hAnsi="Times New Roman;serif"/>
                  <w:b w:val="false"/>
                  <w:strike w:val="false"/>
                  <w:dstrike w:val="false"/>
                  <w:color w:val="3051F2"/>
                  <w:sz w:val="20"/>
                  <w:u w:val="none"/>
                  <w:effect w:val="none"/>
                </w:rPr>
                <w:t>NOTES TO CONSOLIDATED FINANCIAL STATEMENTS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9449e82f4e34eeea7c034e2deefb1f2">
              <w:r>
                <w:rPr>
                  <w:rStyle w:val="InternetLink"/>
                  <w:rFonts w:ascii="Times New Roman;serif" w:hAnsi="Times New Roman;serif"/>
                  <w:b w:val="false"/>
                  <w:strike w:val="false"/>
                  <w:dstrike w:val="false"/>
                  <w:color w:val="3051F2"/>
                  <w:sz w:val="20"/>
                  <w:u w:val="none"/>
                  <w:effect w:val="none"/>
                </w:rPr>
                <w:t>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01b62ef4a94c05a929fd7b71a49d91">
              <w:r>
                <w:rPr>
                  <w:rStyle w:val="InternetLink"/>
                  <w:rFonts w:ascii="Times New Roman;serif" w:hAnsi="Times New Roman;serif"/>
                  <w:b w:val="false"/>
                  <w:strike w:val="false"/>
                  <w:dstrike w:val="false"/>
                  <w:color w:val="3051F2"/>
                  <w:sz w:val="20"/>
                  <w:u w:val="none"/>
                  <w:effect w:val="none"/>
                </w:rPr>
                <w:t>ITEM 2: MANAGEMENT’S DISCUSSION AND ANALYSIS OF FINANCIAL CONDITION AND RESULTS OF OPERATIONS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501b62ef4a94c05a929fd7b71a49d91">
              <w:r>
                <w:rPr>
                  <w:rStyle w:val="InternetLink"/>
                  <w:rFonts w:ascii="Times New Roman;serif" w:hAnsi="Times New Roman;serif"/>
                  <w:b w:val="false"/>
                  <w:strike w:val="false"/>
                  <w:dstrike w:val="false"/>
                  <w:color w:val="3051F2"/>
                  <w:sz w:val="20"/>
                  <w:u w:val="none"/>
                  <w:effect w:val="none"/>
                </w:rPr>
                <w:t>22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fc17f882c7141c686adc235c3f10d16">
              <w:r>
                <w:rPr>
                  <w:rStyle w:val="InternetLink"/>
                  <w:rFonts w:ascii="Times New Roman;serif" w:hAnsi="Times New Roman;serif"/>
                  <w:b w:val="false"/>
                  <w:strike w:val="false"/>
                  <w:dstrike w:val="false"/>
                  <w:color w:val="3051F2"/>
                  <w:sz w:val="20"/>
                  <w:u w:val="none"/>
                  <w:effect w:val="none"/>
                </w:rPr>
                <w:t>ITEM 3: QUANTITATIVE AND QUALITATIVE DISCLOSURES ABOUT MARKET RISK</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fc17f882c7141c686adc235c3f10d16">
              <w:r>
                <w:rPr>
                  <w:rStyle w:val="InternetLink"/>
                  <w:rFonts w:ascii="Times New Roman;serif" w:hAnsi="Times New Roman;serif"/>
                  <w:b w:val="false"/>
                  <w:strike w:val="false"/>
                  <w:dstrike w:val="false"/>
                  <w:color w:val="3051F2"/>
                  <w:sz w:val="20"/>
                  <w:u w:val="none"/>
                  <w:effect w:val="none"/>
                </w:rPr>
                <w:t>32</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16d1de45a3b4bcd9870bcda8ba3e463">
              <w:r>
                <w:rPr>
                  <w:rStyle w:val="InternetLink"/>
                  <w:rFonts w:ascii="Times New Roman;serif" w:hAnsi="Times New Roman;serif"/>
                  <w:b w:val="false"/>
                  <w:strike w:val="false"/>
                  <w:dstrike w:val="false"/>
                  <w:color w:val="3051F2"/>
                  <w:sz w:val="20"/>
                  <w:u w:val="none"/>
                  <w:effect w:val="none"/>
                </w:rPr>
                <w:t>ITEM 4: CONTROLS AND PROCEDURES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16d1de45a3b4bcd9870bcda8ba3e463">
              <w:r>
                <w:rPr>
                  <w:rStyle w:val="InternetLink"/>
                  <w:rFonts w:ascii="Times New Roman;serif" w:hAnsi="Times New Roman;serif"/>
                  <w:b w:val="false"/>
                  <w:strike w:val="false"/>
                  <w:dstrike w:val="false"/>
                  <w:color w:val="3051F2"/>
                  <w:sz w:val="20"/>
                  <w:u w:val="none"/>
                  <w:effect w:val="none"/>
                </w:rPr>
                <w:t>33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7ffc359b73d4cd5aea5259c414b02df">
              <w:r>
                <w:rPr>
                  <w:rStyle w:val="InternetLink"/>
                  <w:rFonts w:ascii="Times New Roman;serif" w:hAnsi="Times New Roman;serif"/>
                  <w:b/>
                  <w:strike w:val="false"/>
                  <w:dstrike w:val="false"/>
                  <w:color w:val="3051F2"/>
                  <w:sz w:val="20"/>
                  <w:u w:val="none"/>
                  <w:effect w:val="none"/>
                </w:rPr>
                <w:t>PART II OTHER INFORMATION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7ffc359b73d4cd5aea5259c414b02df">
              <w:r>
                <w:rPr>
                  <w:rStyle w:val="InternetLink"/>
                  <w:rFonts w:ascii="Times New Roman;serif" w:hAnsi="Times New Roman;serif"/>
                  <w:b/>
                  <w:strike w:val="false"/>
                  <w:dstrike w:val="false"/>
                  <w:color w:val="3051F2"/>
                  <w:sz w:val="20"/>
                  <w:u w:val="none"/>
                  <w:effect w:val="none"/>
                </w:rPr>
                <w:t>33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d87a24fd70f49e79d27b2ef98b7eba4">
              <w:r>
                <w:rPr>
                  <w:rStyle w:val="InternetLink"/>
                  <w:rFonts w:ascii="Times New Roman;serif" w:hAnsi="Times New Roman;serif"/>
                  <w:b w:val="false"/>
                  <w:strike w:val="false"/>
                  <w:dstrike w:val="false"/>
                  <w:color w:val="3051F2"/>
                  <w:sz w:val="20"/>
                  <w:u w:val="none"/>
                  <w:effect w:val="none"/>
                </w:rPr>
                <w:t>ITEM 1: LEGAL PROCEEDINGS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d87a24fd70f49e79d27b2ef98b7eba4">
              <w:r>
                <w:rPr>
                  <w:rStyle w:val="InternetLink"/>
                  <w:rFonts w:ascii="Times New Roman;serif" w:hAnsi="Times New Roman;serif"/>
                  <w:b w:val="false"/>
                  <w:strike w:val="false"/>
                  <w:dstrike w:val="false"/>
                  <w:color w:val="3051F2"/>
                  <w:sz w:val="20"/>
                  <w:u w:val="none"/>
                  <w:effect w:val="none"/>
                </w:rPr>
                <w:t>33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c3624f044c9472cb4310248adc56341">
              <w:r>
                <w:rPr>
                  <w:rStyle w:val="InternetLink"/>
                  <w:rFonts w:ascii="Times New Roman;serif" w:hAnsi="Times New Roman;serif"/>
                  <w:b w:val="false"/>
                  <w:strike w:val="false"/>
                  <w:dstrike w:val="false"/>
                  <w:color w:val="3051F2"/>
                  <w:sz w:val="20"/>
                  <w:u w:val="none"/>
                  <w:effect w:val="none"/>
                </w:rPr>
                <w:t>ITEM 1A: RISK FACTORS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c3624f044c9472cb4310248adc56341">
              <w:r>
                <w:rPr>
                  <w:rStyle w:val="InternetLink"/>
                  <w:rFonts w:ascii="Times New Roman;serif" w:hAnsi="Times New Roman;serif"/>
                  <w:b w:val="false"/>
                  <w:strike w:val="false"/>
                  <w:dstrike w:val="false"/>
                  <w:color w:val="3051F2"/>
                  <w:sz w:val="20"/>
                  <w:u w:val="none"/>
                  <w:effect w:val="none"/>
                </w:rPr>
                <w:t>33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b0be9ca945e4ca3b6e99c4f657902f8">
              <w:r>
                <w:rPr>
                  <w:rStyle w:val="InternetLink"/>
                  <w:rFonts w:ascii="Times New Roman;serif" w:hAnsi="Times New Roman;serif"/>
                  <w:b w:val="false"/>
                  <w:strike w:val="false"/>
                  <w:dstrike w:val="false"/>
                  <w:color w:val="3051F2"/>
                  <w:sz w:val="20"/>
                  <w:u w:val="none"/>
                  <w:effect w:val="none"/>
                </w:rPr>
                <w:t>ITEM 2: UNREGISTERED SALES OF EQUITY SECURITIES AND USE OF PROCEEDS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b0be9ca945e4ca3b6e99c4f657902f8">
              <w:r>
                <w:rPr>
                  <w:rStyle w:val="InternetLink"/>
                  <w:rFonts w:ascii="Times New Roman;serif" w:hAnsi="Times New Roman;serif"/>
                  <w:b w:val="false"/>
                  <w:strike w:val="false"/>
                  <w:dstrike w:val="false"/>
                  <w:color w:val="3051F2"/>
                  <w:sz w:val="20"/>
                  <w:u w:val="none"/>
                  <w:effect w:val="none"/>
                </w:rPr>
                <w:t>33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d4dbf6beea444e48391e9c4d985f88e">
              <w:r>
                <w:rPr>
                  <w:rStyle w:val="InternetLink"/>
                  <w:rFonts w:ascii="Times New Roman;serif" w:hAnsi="Times New Roman;serif"/>
                  <w:b w:val="false"/>
                  <w:strike w:val="false"/>
                  <w:dstrike w:val="false"/>
                  <w:color w:val="3051F2"/>
                  <w:sz w:val="20"/>
                  <w:u w:val="none"/>
                  <w:effect w:val="none"/>
                </w:rPr>
                <w:t>ITEM 3: DEFAULTS UPON SENIOR SECURITIES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d4dbf6beea444e48391e9c4d985f88e">
              <w:r>
                <w:rPr>
                  <w:rStyle w:val="InternetLink"/>
                  <w:rFonts w:ascii="Times New Roman;serif" w:hAnsi="Times New Roman;serif"/>
                  <w:b w:val="false"/>
                  <w:strike w:val="false"/>
                  <w:dstrike w:val="false"/>
                  <w:color w:val="3051F2"/>
                  <w:sz w:val="20"/>
                  <w:u w:val="none"/>
                  <w:effect w:val="none"/>
                </w:rPr>
                <w:t>34</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4a12808ced94dacb7cd0f515538af6c">
              <w:r>
                <w:rPr>
                  <w:rStyle w:val="InternetLink"/>
                  <w:rFonts w:ascii="Times New Roman;serif" w:hAnsi="Times New Roman;serif"/>
                  <w:b w:val="false"/>
                  <w:strike w:val="false"/>
                  <w:dstrike w:val="false"/>
                  <w:color w:val="3051F2"/>
                  <w:sz w:val="20"/>
                  <w:u w:val="none"/>
                  <w:effect w:val="none"/>
                </w:rPr>
                <w:t>ITEM 4: MINE SAFETY DISCLOSURES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4a12808ced94dacb7cd0f515538af6c">
              <w:r>
                <w:rPr>
                  <w:rStyle w:val="InternetLink"/>
                  <w:rFonts w:ascii="Times New Roman;serif" w:hAnsi="Times New Roman;serif"/>
                  <w:b w:val="false"/>
                  <w:strike w:val="false"/>
                  <w:dstrike w:val="false"/>
                  <w:color w:val="3051F2"/>
                  <w:sz w:val="20"/>
                  <w:u w:val="none"/>
                  <w:effect w:val="none"/>
                </w:rPr>
                <w:t>34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a62f290357c4e11a02f512a7d562a9f">
              <w:r>
                <w:rPr>
                  <w:rStyle w:val="InternetLink"/>
                  <w:rFonts w:ascii="Times New Roman;serif" w:hAnsi="Times New Roman;serif"/>
                  <w:b w:val="false"/>
                  <w:strike w:val="false"/>
                  <w:dstrike w:val="false"/>
                  <w:color w:val="3051F2"/>
                  <w:sz w:val="20"/>
                  <w:u w:val="none"/>
                  <w:effect w:val="none"/>
                </w:rPr>
                <w:t>ITEM 5: OTHER INFORMATION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a62f290357c4e11a02f512a7d562a9f">
              <w:r>
                <w:rPr>
                  <w:rStyle w:val="InternetLink"/>
                  <w:rFonts w:ascii="Times New Roman;serif" w:hAnsi="Times New Roman;serif"/>
                  <w:b w:val="false"/>
                  <w:strike w:val="false"/>
                  <w:dstrike w:val="false"/>
                  <w:color w:val="3051F2"/>
                  <w:sz w:val="20"/>
                  <w:u w:val="none"/>
                  <w:effect w:val="none"/>
                </w:rPr>
                <w:t>34</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9813a7ba530426f86c18fca599501c1">
              <w:r>
                <w:rPr>
                  <w:rStyle w:val="InternetLink"/>
                  <w:rFonts w:ascii="Times New Roman;serif" w:hAnsi="Times New Roman;serif"/>
                  <w:b w:val="false"/>
                  <w:strike w:val="false"/>
                  <w:dstrike w:val="false"/>
                  <w:color w:val="3051F2"/>
                  <w:sz w:val="20"/>
                  <w:u w:val="none"/>
                  <w:effect w:val="none"/>
                </w:rPr>
                <w:t>ITEM 6: EXHIBITS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9813a7ba530426f86c18fca599501c1">
              <w:r>
                <w:rPr>
                  <w:rStyle w:val="InternetLink"/>
                  <w:rFonts w:ascii="Times New Roman;serif" w:hAnsi="Times New Roman;serif"/>
                  <w:b w:val="false"/>
                  <w:strike w:val="false"/>
                  <w:dstrike w:val="false"/>
                  <w:color w:val="3051F2"/>
                  <w:sz w:val="20"/>
                  <w:u w:val="none"/>
                  <w:effect w:val="none"/>
                </w:rPr>
                <w:t>35</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091c1d2b9f5474aa41d90fd99c0cb1b">
              <w:r>
                <w:rPr>
                  <w:rStyle w:val="InternetLink"/>
                  <w:rFonts w:ascii="Times New Roman;serif" w:hAnsi="Times New Roman;serif"/>
                  <w:b/>
                  <w:strike w:val="false"/>
                  <w:dstrike w:val="false"/>
                  <w:color w:val="3051F2"/>
                  <w:sz w:val="20"/>
                  <w:u w:val="none"/>
                  <w:effect w:val="none"/>
                </w:rPr>
                <w:t>SIGNATURE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91c1d2b9f5474aa41d90fd99c0cb1b">
              <w:r>
                <w:rPr>
                  <w:rStyle w:val="InternetLink"/>
                  <w:rFonts w:ascii="Times New Roman;serif" w:hAnsi="Times New Roman;serif"/>
                  <w:b/>
                  <w:strike w:val="false"/>
                  <w:dstrike w:val="false"/>
                  <w:color w:val="3051F2"/>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0" w:name="i9b32504a297241729639b851a454c3e0"/>
      <w:bookmarkEnd w:id="0"/>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6168afd9933647a7ac8bd1ad598e9157"/>
      <w:bookmarkEnd w:id="1"/>
      <w:r>
        <w:rPr>
          <w:rFonts w:ascii="Times New Roman;serif" w:hAnsi="Times New Roman;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bookmarkStart w:id="2" w:name="i7cbeb4b518974d558ececbcef4c0d937"/>
      <w:bookmarkEnd w:id="2"/>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amounts)</w:t>
      </w:r>
    </w:p>
    <w:tbl>
      <w:tblPr>
        <w:tblW w:w="10021" w:type="dxa"/>
        <w:jc w:val="center"/>
        <w:tblInd w:w="0" w:type="dxa"/>
        <w:tblLayout w:type="fixed"/>
        <w:tblCellMar>
          <w:top w:w="28" w:type="dxa"/>
          <w:left w:w="28" w:type="dxa"/>
          <w:bottom w:w="28" w:type="dxa"/>
          <w:right w:w="28" w:type="dxa"/>
        </w:tblCellMar>
      </w:tblPr>
      <w:tblGrid>
        <w:gridCol w:w="1482"/>
        <w:gridCol w:w="1309"/>
        <w:gridCol w:w="1319"/>
        <w:gridCol w:w="109"/>
        <w:gridCol w:w="109"/>
        <w:gridCol w:w="109"/>
        <w:gridCol w:w="211"/>
        <w:gridCol w:w="79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bookmarkStart w:id="3" w:name="if35c3d51bae44591947e959fbee4eef4"/>
      <w:bookmarkEnd w:id="3"/>
      <w:r>
        <w:rPr>
          <w:rFonts w:ascii="Times New Roman;serif" w:hAnsi="Times New Roman;serif"/>
          <w:b/>
          <w:color w:val="000000"/>
          <w:sz w:val="20"/>
        </w:rPr>
        <w:t>CONSOLIDATED BALANCE SHEETS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 of shares) </w:t>
      </w:r>
    </w:p>
    <w:tbl>
      <w:tblPr>
        <w:tblW w:w="10205" w:type="dxa"/>
        <w:jc w:val="center"/>
        <w:tblInd w:w="0" w:type="dxa"/>
        <w:tblLayout w:type="fixed"/>
        <w:tblCellMar>
          <w:top w:w="28" w:type="dxa"/>
          <w:left w:w="28" w:type="dxa"/>
          <w:bottom w:w="28" w:type="dxa"/>
          <w:right w:w="28" w:type="dxa"/>
        </w:tblCellMar>
      </w:tblPr>
      <w:tblGrid>
        <w:gridCol w:w="2762"/>
        <w:gridCol w:w="2174"/>
        <w:gridCol w:w="2073"/>
        <w:gridCol w:w="109"/>
        <w:gridCol w:w="109"/>
        <w:gridCol w:w="109"/>
        <w:gridCol w:w="211"/>
        <w:gridCol w:w="841"/>
        <w:gridCol w:w="109"/>
        <w:gridCol w:w="109"/>
        <w:gridCol w:w="109"/>
        <w:gridCol w:w="109"/>
        <w:gridCol w:w="222"/>
        <w:gridCol w:w="887"/>
        <w:gridCol w:w="114"/>
        <w:gridCol w:w="158"/>
      </w:tblGrid>
      <w:tr>
        <w:trPr/>
        <w:tc>
          <w:tcPr>
            <w:tcW w:w="276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improvements,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254,809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290,663</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 - current,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 - long-term,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177,705 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40,000 shares authorized; 14,493 and 14,493 shares issued and outstanding at June 30, 2026 and September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254,809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290,663</w:t>
            </w:r>
            <w:r>
              <w:rPr>
                <w:color w:val="000000"/>
              </w:rPr>
              <w:t>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bookmarkStart w:id="4" w:name="i11cc93b396c54ccfa0b4ed7da77bf013"/>
      <w:bookmarkEnd w:id="4"/>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w:t>
      </w:r>
    </w:p>
    <w:tbl>
      <w:tblPr>
        <w:tblW w:w="10165" w:type="dxa"/>
        <w:jc w:val="center"/>
        <w:tblInd w:w="0" w:type="dxa"/>
        <w:tblLayout w:type="fixed"/>
        <w:tblCellMar>
          <w:top w:w="28" w:type="dxa"/>
          <w:left w:w="28" w:type="dxa"/>
          <w:bottom w:w="28" w:type="dxa"/>
          <w:right w:w="28" w:type="dxa"/>
        </w:tblCellMar>
      </w:tblPr>
      <w:tblGrid>
        <w:gridCol w:w="2608"/>
        <w:gridCol w:w="2288"/>
        <w:gridCol w:w="2304"/>
        <w:gridCol w:w="109"/>
        <w:gridCol w:w="109"/>
        <w:gridCol w:w="109"/>
        <w:gridCol w:w="211"/>
        <w:gridCol w:w="796"/>
        <w:gridCol w:w="109"/>
        <w:gridCol w:w="109"/>
        <w:gridCol w:w="109"/>
        <w:gridCol w:w="109"/>
        <w:gridCol w:w="211"/>
        <w:gridCol w:w="721"/>
        <w:gridCol w:w="109"/>
        <w:gridCol w:w="154"/>
      </w:tblGrid>
      <w:tr>
        <w:trPr/>
        <w:tc>
          <w:tcPr>
            <w:tcW w:w="260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charged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surrendered for the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liability recognized to acquire a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bookmarkStart w:id="5" w:name="i57b6db282c6d42019fe429fea85ede46"/>
      <w:bookmarkEnd w:id="5"/>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32"/>
        <w:gridCol w:w="631"/>
        <w:gridCol w:w="633"/>
        <w:gridCol w:w="109"/>
        <w:gridCol w:w="109"/>
        <w:gridCol w:w="109"/>
        <w:gridCol w:w="225"/>
        <w:gridCol w:w="225"/>
        <w:gridCol w:w="226"/>
        <w:gridCol w:w="109"/>
        <w:gridCol w:w="109"/>
        <w:gridCol w:w="109"/>
        <w:gridCol w:w="236"/>
        <w:gridCol w:w="421"/>
        <w:gridCol w:w="124"/>
        <w:gridCol w:w="109"/>
        <w:gridCol w:w="109"/>
        <w:gridCol w:w="109"/>
        <w:gridCol w:w="211"/>
        <w:gridCol w:w="841"/>
        <w:gridCol w:w="109"/>
        <w:gridCol w:w="109"/>
        <w:gridCol w:w="109"/>
        <w:gridCol w:w="109"/>
        <w:gridCol w:w="437"/>
        <w:gridCol w:w="1308"/>
        <w:gridCol w:w="227"/>
        <w:gridCol w:w="109"/>
        <w:gridCol w:w="109"/>
        <w:gridCol w:w="109"/>
        <w:gridCol w:w="292"/>
        <w:gridCol w:w="1170"/>
        <w:gridCol w:w="222"/>
      </w:tblGrid>
      <w:tr>
        <w:trPr/>
        <w:tc>
          <w:tcPr>
            <w:tcW w:w="103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7,351</w:t>
            </w:r>
            <w:r>
              <w:rPr>
                <w:color w:val="000000"/>
              </w:rPr>
              <w:t>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110,270</w:t>
            </w:r>
            <w:r>
              <w:rPr>
                <w:color w:val="000000"/>
              </w:rPr>
              <w:t>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director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employee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102,686</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(9,436)</w:t>
            </w:r>
          </w:p>
        </w:tc>
        <w:tc>
          <w:tcPr>
            <w:tcW w:w="2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93,264</w:t>
            </w:r>
            <w:r>
              <w:rPr>
                <w:color w:val="000000"/>
              </w:rPr>
              <w:t> </w:t>
            </w:r>
          </w:p>
        </w:tc>
        <w:tc>
          <w:tcPr>
            <w:tcW w:w="2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90"/>
        <w:gridCol w:w="783"/>
        <w:gridCol w:w="785"/>
        <w:gridCol w:w="109"/>
        <w:gridCol w:w="109"/>
        <w:gridCol w:w="109"/>
        <w:gridCol w:w="225"/>
        <w:gridCol w:w="225"/>
        <w:gridCol w:w="226"/>
        <w:gridCol w:w="109"/>
        <w:gridCol w:w="109"/>
        <w:gridCol w:w="109"/>
        <w:gridCol w:w="236"/>
        <w:gridCol w:w="421"/>
        <w:gridCol w:w="124"/>
        <w:gridCol w:w="109"/>
        <w:gridCol w:w="109"/>
        <w:gridCol w:w="109"/>
        <w:gridCol w:w="211"/>
        <w:gridCol w:w="841"/>
        <w:gridCol w:w="109"/>
        <w:gridCol w:w="109"/>
        <w:gridCol w:w="109"/>
        <w:gridCol w:w="109"/>
        <w:gridCol w:w="370"/>
        <w:gridCol w:w="1299"/>
        <w:gridCol w:w="194"/>
        <w:gridCol w:w="109"/>
        <w:gridCol w:w="109"/>
        <w:gridCol w:w="109"/>
        <w:gridCol w:w="283"/>
        <w:gridCol w:w="1133"/>
        <w:gridCol w:w="21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11,210</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112,958</w:t>
            </w:r>
            <w:r>
              <w:rPr>
                <w:color w:val="000000"/>
              </w:rPr>
              <w:t>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director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employee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surrendered for the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102,686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(9,436)</w:t>
            </w:r>
          </w:p>
        </w:tc>
        <w:tc>
          <w:tcPr>
            <w:tcW w:w="1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93,264</w:t>
            </w:r>
            <w:r>
              <w:rPr>
                <w:color w:val="000000"/>
              </w:rPr>
              <w:t> </w:t>
            </w:r>
          </w:p>
        </w:tc>
        <w:tc>
          <w:tcPr>
            <w:tcW w:w="2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41"/>
        <w:gridCol w:w="770"/>
        <w:gridCol w:w="775"/>
        <w:gridCol w:w="109"/>
        <w:gridCol w:w="109"/>
        <w:gridCol w:w="109"/>
        <w:gridCol w:w="368"/>
        <w:gridCol w:w="368"/>
        <w:gridCol w:w="226"/>
        <w:gridCol w:w="110"/>
        <w:gridCol w:w="110"/>
        <w:gridCol w:w="110"/>
        <w:gridCol w:w="236"/>
        <w:gridCol w:w="421"/>
        <w:gridCol w:w="124"/>
        <w:gridCol w:w="109"/>
        <w:gridCol w:w="109"/>
        <w:gridCol w:w="109"/>
        <w:gridCol w:w="211"/>
        <w:gridCol w:w="841"/>
        <w:gridCol w:w="109"/>
        <w:gridCol w:w="109"/>
        <w:gridCol w:w="109"/>
        <w:gridCol w:w="109"/>
        <w:gridCol w:w="259"/>
        <w:gridCol w:w="906"/>
        <w:gridCol w:w="134"/>
        <w:gridCol w:w="109"/>
        <w:gridCol w:w="109"/>
        <w:gridCol w:w="109"/>
        <w:gridCol w:w="309"/>
        <w:gridCol w:w="1237"/>
        <w:gridCol w:w="232"/>
      </w:tblGrid>
      <w:tr>
        <w:trPr/>
        <w:tc>
          <w:tcPr>
            <w:tcW w:w="104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14,386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11,840</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112,849</w:t>
            </w: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director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employee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14,386</w:t>
            </w:r>
            <w:r>
              <w:rPr>
                <w:color w:val="000000"/>
              </w:rPr>
              <w:t> </w:t>
            </w:r>
          </w:p>
        </w:tc>
        <w:tc>
          <w:tcPr>
            <w:tcW w:w="2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101,555</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12,129</w:t>
            </w:r>
            <w:r>
              <w:rPr>
                <w:color w:val="000000"/>
              </w:rPr>
              <w:t> </w:t>
            </w:r>
          </w:p>
        </w:tc>
        <w:tc>
          <w:tcPr>
            <w:tcW w:w="1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113,698</w:t>
            </w:r>
            <w:r>
              <w:rPr>
                <w:color w:val="000000"/>
              </w:rPr>
              <w:t> </w:t>
            </w:r>
          </w:p>
        </w:tc>
        <w:tc>
          <w:tcPr>
            <w:tcW w:w="2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0"/>
        <w:gridCol w:w="828"/>
        <w:gridCol w:w="830"/>
        <w:gridCol w:w="109"/>
        <w:gridCol w:w="109"/>
        <w:gridCol w:w="109"/>
        <w:gridCol w:w="368"/>
        <w:gridCol w:w="368"/>
        <w:gridCol w:w="226"/>
        <w:gridCol w:w="110"/>
        <w:gridCol w:w="110"/>
        <w:gridCol w:w="110"/>
        <w:gridCol w:w="236"/>
        <w:gridCol w:w="421"/>
        <w:gridCol w:w="124"/>
        <w:gridCol w:w="109"/>
        <w:gridCol w:w="109"/>
        <w:gridCol w:w="109"/>
        <w:gridCol w:w="211"/>
        <w:gridCol w:w="841"/>
        <w:gridCol w:w="109"/>
        <w:gridCol w:w="109"/>
        <w:gridCol w:w="109"/>
        <w:gridCol w:w="109"/>
        <w:gridCol w:w="258"/>
        <w:gridCol w:w="903"/>
        <w:gridCol w:w="133"/>
        <w:gridCol w:w="109"/>
        <w:gridCol w:w="109"/>
        <w:gridCol w:w="109"/>
        <w:gridCol w:w="308"/>
        <w:gridCol w:w="1231"/>
        <w:gridCol w:w="232"/>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14,386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9,848</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110,132</w:t>
            </w: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director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related to employee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14,386</w:t>
            </w:r>
            <w:r>
              <w:rPr>
                <w:color w:val="000000"/>
              </w:rPr>
              <w:t> </w:t>
            </w:r>
          </w:p>
        </w:tc>
        <w:tc>
          <w:tcPr>
            <w:tcW w:w="2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101,555</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12,129</w:t>
            </w:r>
            <w:r>
              <w:rPr>
                <w:color w:val="000000"/>
              </w:rPr>
              <w:t> </w:t>
            </w:r>
          </w:p>
        </w:tc>
        <w:tc>
          <w:tcPr>
            <w:tcW w:w="1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113,698</w:t>
            </w:r>
            <w:r>
              <w:rPr>
                <w:color w:val="000000"/>
              </w:rPr>
              <w:t> </w:t>
            </w:r>
          </w:p>
        </w:tc>
        <w:tc>
          <w:tcPr>
            <w:tcW w:w="2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lineRule="auto" w:line="288" w:before="0" w:after="0"/>
        <w:jc w:val="center"/>
        <w:rPr>
          <w:rFonts w:ascii="Times New Roman;serif" w:hAnsi="Times New Roman;serif"/>
          <w:b/>
          <w:color w:val="000000"/>
          <w:sz w:val="20"/>
        </w:rPr>
      </w:pPr>
      <w:bookmarkStart w:id="6" w:name="i69449e82f4e34eeea7c034e2deefb1f2"/>
      <w:bookmarkEnd w:id="6"/>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Principles of Consolidation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DLH Holdings Corp. and its wholly-owned subsidiaries ("DLH" or the "Company" and also referred to as "we," "us" and "our"). All significant intercompany balances and transactions have been eliminated in consolidation. The accompanying financial statements have been prepared in accordance with accounting principles generally accepted in the United States of America ("GAAP") for interim financial information and with the instructions to Form 10-Q and Regulation S-X. Accordingly, these statements do not include all of the information and footnotes required by GAAP for complete financial statements. Certain prior year amounts have been reclassified to conform to the fiscal 2026 presentation. These reclassifications had no impact on the Company's reported total revenues, expenses, net income, current assets, total assets, current liabilities, total liabilities, stockholders' equity, or cash flows. No reclassifications of prior period balances were material to the unaudited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results for the nine months ended June 30, 2026 are not necessarily indicative of the results that may be expected for the year ending September 30, 2026 or any future period. Amounts as of June 30, 2026 and for the three and nine months ended June 30, 2026 are unaudited. For further information, refer to the consolidated financial statements and footnotes thereto included in the Company's Annual Report on Form 10-K for the year ended September 30, 2025 filed with the Securities and Exchange Commission on December 10,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The most significant of these estimates and assumptions relate to estimating costs including overhead and its allocation, valuing and determining the amortization periods for long-lived intangible assets, evaluating the realizability of deferred tax assets, including the need for valuation allowances, interest rate swaps, stock-based compensation, goodwill, and right-of-use assets and lease liabilities. We evaluate these estimates and judgments on an ongoing basis and base our estimates on historical experience, current and expected future outcomes, third-party evaluations, and various other assumptions that we believe are reasonable under the circumstances. The results of these estimates form the basis for making judgments about the carrying values of assets and liabilities as well as identifying and assessing the accounting treatment with respect to commitments and contingencies. We revise material accounting estimates if changes occur, such as more experience is acquired, additional information is obtained, or there is new information on which an estimate was or can be based.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reports operating results and financial data in one operating and reportable segment. The Company provides technology-enabled business process, program management, and digital transformation solutions primarily to U.S. government agencies, which share similar economic characteristics, production processes, customer bases, and regulatory environments. The Chief Executive Officer serves as the Chief Operating Decision Maker ("CODM") and evaluates performance and allocates resources based on consolidated financial results. Significant expense categories regularly provided to the CODM to manage operations are those disclosed in the consolidated statements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from contracts with customers are derived from offerings that include technology-enabled business process outsourcing, program management solutions, and public health research and analytics, substantially within the U.S. government and its agencies. The Company has various types of contracts including time-and-materials contracts, cost-reimbursable contracts, and firm-fixed-price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a contract with a customer to exist when there is a commitment by both parties (customer and Company), payment terms are determinable, there is commercial substance, and collectability is probable in accordance with Accounting Standards Codification ("ASC") No. 606, "Revenue from Contracts with Customers" ("Topic 606").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over time when there is a continuous transfer of control to our customer as performance obligations are satisfied. For our U.S. government contracts, this continuous transfer of control to the customer is transferred over time and revenue is recognized based on the extent of progress toward completion of the performance obligation. We consider control to transfer when we have a right to payment. In some instances, the Company commences providing services prior to formal approval to begin work from the customer. The Company considers these factors, the risks associated with commencing work, and legal enforceability in determining whether a contract exists under Topic 606.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modification can occur throughout the life of the contract and can affect the transaction price, extend the period of performance, adjust funding, or create new performance obligations. We review each modification to assess the impact of these contract changes to determine if it should be treated as part of the original performance obligation or as a separate contract. Contract modifications impact performance obligations when the modification either creates new or changes the existing enforceable rights and obligations. The effect of a contract modification on the transaction price and our measure of progress for the performance obligation to which it relates is recognized as an adjustment to revenue and profit cumulatively. Furthermore, a significant change in one or more estimates could affect the profitability of our contracts. We recognize adjustments in estimated profit on contracts in the period identified.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service contracts, we satisfy our performance obligations as services are rendered. We use cost-based input and time-based output methods to measure progress based on the contract type.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Time and material</w:t>
      </w:r>
      <w:r>
        <w:rPr>
          <w:color w:val="000000"/>
        </w:rPr>
        <w:t xml:space="preserve"> </w:t>
      </w:r>
      <w:r>
        <w:rPr>
          <w:rFonts w:ascii="Times New Roman;serif" w:hAnsi="Times New Roman;serif"/>
          <w:b w:val="false"/>
          <w:color w:val="000000"/>
          <w:sz w:val="20"/>
        </w:rPr>
        <w:t>- We bill the customer per labor hour and per material, and revenue is recognized in the amount invoiced as the amount corresponds directly to the value of our performance to date. Revenue is recognized to the extent of billable rates times hours delivered plus materials and other reimbursable costs incurred.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Cost reimbursable</w:t>
      </w:r>
      <w:r>
        <w:rPr>
          <w:color w:val="000000"/>
        </w:rPr>
        <w:t xml:space="preserve"> </w:t>
      </w:r>
      <w:r>
        <w:rPr>
          <w:rFonts w:ascii="Times New Roman;serif" w:hAnsi="Times New Roman;serif"/>
          <w:b w:val="false"/>
          <w:color w:val="000000"/>
          <w:sz w:val="20"/>
        </w:rPr>
        <w:t>- We record reimbursable costs as incurred, including an estimated share of the contractual fee earned.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Firm fixed price</w:t>
      </w:r>
      <w:r>
        <w:rPr>
          <w:color w:val="000000"/>
        </w:rPr>
        <w:t xml:space="preserve"> </w:t>
      </w:r>
      <w:r>
        <w:rPr>
          <w:rFonts w:ascii="Times New Roman;serif" w:hAnsi="Times New Roman;serif"/>
          <w:b w:val="false"/>
          <w:color w:val="000000"/>
          <w:sz w:val="20"/>
        </w:rPr>
        <w:t xml:space="preserve">- We recognize revenue over time using a straight-line measure of progress.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costs generally include direct costs such as labor, materials, subcontract costs, and indirect costs identifiable with or allocable to a specific contract. Costs are expensed as incurred. Contract costs incurred for U.S. government contracts, including indirect costs, are subject to audit and adjustment by various government audit agencies. Historically, our adjustments have not been material.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Amounts are invoiced as work progresses in accordance with agreed-upon contractual terms. In part, revenue recognition occurs before we have the right to bill, resulting in contract assets. These contract assets are reported within accounts receivable on our consolidated balance sheets and are invoiced in accordance with payment terms defined in each contract. Period end balances will vary from period to period due to agreed-upon contractual terms.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Contract liabilities </w:t>
      </w:r>
      <w:r>
        <w:rPr>
          <w:rFonts w:ascii="Times New Roman;serif" w:hAnsi="Times New Roman;serif"/>
          <w:b w:val="false"/>
          <w:color w:val="000000"/>
          <w:sz w:val="20"/>
        </w:rPr>
        <w:t>- Amounts are a result of billings in excess of costs incurred or prepayment for services to be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cash, accounts receivable, contract assets, accrued expenses, and accounts payable approximate fair value due to the short-term nature of these instruments. The fair values of the Company's debt instruments approximate fair value because the underlying interest rates approximate market rates that the Company could obtain for similar instruments at the balance sheet 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long-lived assets include equipment and improvements, intangible assets, right-of-use assets, and goodwill. The Company continues to review long-lived assets for possible impairment or loss of value at least annually, or more frequently upon the occurrence of an event or when circumstances indicate that a reporting unit's carrying amount is greater than its fair value. Specifically related to goodwill, if the qualitative analysis indicates a quantitative assessment is necessary, the Company utilizes multiple methods to determine its implied fair value. Each method utilizes a significant amount of judgment and may not be indicative of the Company's fair value on its own and therefore multiple methods could be combined to determine an implied fair value. Each method utilizes relevant publicly available information as well as observable market conditions. If the book value of goodwill exceeds its fair value, then an impairment is recognized and goodwill is written down to fair value. The impairment loss would be recognized as an operating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Equipment and improvements are recorded at cost, less accumulated depreciation and amortization. Depreciation and amortization are provided using the straight-line method over the estimated useful asset lives (3 to 7 years) and the shorter of the initial lease term or estimated useful life for leasehold improvements. Maintenance and repair costs are expensed as incurred. Intangible assets (other than goodwill) are originally recorded at fair value and are amortized on a straight-line basis over their estimated useful lives of 10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Right-of-use assets are measured at the present value of future minimum lease payments, including all probable renewals, plus lease payments made to the lessor before or at lease commencement and initial direct costs paid, less incentives received. Our right-of-use assets include long-term leases for facilities and equipment and are amortized over their respective lease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Lease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leases for facilities and office equipment. Our lease liabilities are recognized as the present value of the future minimum lease payments over the lease term. Our lease payments consist of fixed and in-substance fixed amounts attributable to the use of the underlying asset over the lease term. Variable lease payments that do not depend on an index rate or are not in-substance fixed payments are excluded in the measurement of right-of-use assets and lease liabilities and are expensed in the period incurred. The incremental borrowing rate on our secured term loan is used in determining the present value of future minimum lease payments. Some of our lease agreements include options to extend the lease term or terminate the lease. These options are accounted for in our right-of-use assets and lease liabilities when it is reasonably certain that the Company will extend the lease term or terminate the lease. The Company does not have any finance leases. As of June 30, 2026, operating leases for facilities and equipment have remaining lease terms of less than 6 months to 6.6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performs impairment evaluation at least annually at the end of the fiscal year and between annual tests whenever there is an indication of impairment. The assessment at June 30, 2026 indicated a triggering event had occurred requiring that the Company perform additional quantitative assessments. The triggering event was primarily due to the decrease in the Company's share price resulting in a decline in market capitalization. Management then performed a series of quantitative assessments utilizing multiple evaluation methods. Those assessments included both market and income-based methods utilizing level 1 observable market data and level 3 estimates. Significant estimates in the market-based methods included identifying similar companies with comparable business factors such as service offerings, customers, size, growth, profitability, risk and return on investment, as well as assessing comparable market multiples and control premiums in estimating the fair value of the Company. For the market-based methods, the Company used the market capitalization with the inclusion of a control premium as one estimation of fair value. The other market-based method used publicly available market multiples of relevant publicly traded companies applied to our expected EBITDA and revenue for fiscal 2026 to estimate the Company's fair value. The income-based method is a discounted cash flow analysis and the significant estimates included expected growth rates, profitability and the weighted average cost of capital. The Company used a weighted average blend of these methods to assess its fair value. The results of those assessments indicated that the Company's fair value was in excess of the Company's book value and therefore its goodwill was not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this evaluation, factors including non-renewal of a major contract or other substantial changes in business conditions could have a material adverse effect on the valuation of goodwill in future periods and the resulting charge could be material to future periods’ results of operations. There were no impairments during the prior year ended September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in accordance with the asset and liability method, whereby deferred tax assets and liabilities are determined based on the difference between the financial statement and tax bases of assets and liabilities, using enacted tax rates in effect for the year in which the differences are expected to reverse. Deferred tax assets are reflected on the consolidated balance sheets when it is determined that it is more likely than not that the asset will be realized. This guidance also requires that deferred tax assets be reduced by a valuation allowance if it is more likely than not that some or all of the deferred tax asset will not be realized. During the three nine months ended June 30, 2026, we recognized a valuation allowance against our deferred tax assets of $10.4 million. We account for uncertain tax positions by recognizing the financial statement effects of a tax position only when, based upon the technical merits, it is more likely than not that the position will be sustained upon examination. We had no uncertain tax positions at either June 30, 2026 or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 interest and penalties as a component of provision for income taxes. During the nine months ended June 30, 2026 and 2025, we recognized no interest and no penalties related to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fair value-based method for stock-based compensation. Options issued are designated as either an incentive stock option or a non-statutory stock option. No option may be granted with a term of more than 10 years from the date of grant. Option awards may depend on achievement of certain vesting criteria determined by the Compensation Committee of our Board. Shares issued upon option exercise are newly issued common shares. All awards to employees and non-employees are recorded at fair value on the date of the grant and expensed over the period of vesting. The Company uses a Monte Carlo method to estimate the fair value of each stock option at the date of grant. Any consideration paid by the option holders to purchase shares is credited to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the portion of equity awards for which the requisite service has not been rendered is recognized as the requisite service is rendered. The stock-based compensation expense for equity awards has been based on the grant-date fair value of those awards as calculated for recognition purposes under applicable guidance. For other equity awards that vest based on the Company’s common stock achieving and maintaining defined market prices, the Company values the awards with a Monte Carlo method that utilizes various probability factors and other criterion in establishing fair value of the grant. The related compensation expense is recognized over the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of three months or less when purchased to be cash equivalents. We maintain cash balances at financial institutions that are insured by the Federal Deposit Insurance Corporation up to $250,000. Deposits held with financial institutions may exceed the $250,000 limit.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Receivables include amounts billed and currently due from customers where the right to consideration is unconditional and amounts unbilled. Both billed and unbilled amounts are non-interest bearing, unsecured, and recognized at an estimated realizable value that includes costs and fees, and are generally expected to be billed and received within a single year. We evaluate our receivables for expected credit losses on a quarterly basis and determine whether an allowance for expected credit losses is appropriate based on specific collection issues. No allowance for doubtful accounts was deemed necessary at either June 30, 2026 or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calculated by dividing income available to common shareholders by the weighted average number of common stock outstanding and restricted stock grants that vested or are likely to vest during the period. Diluted earnings per share is calculated by dividing income available to common shareholders by the weighted average number of basic common shares outstanding, adjusted to reflect potentially dilutive securities. Diluted earnings per share is calculated using the treasury stock method.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Treasury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purchases its own common stock that is traded on public markets as part of announced stock repurchase programs. The repurchased common stock is classified as treasury stock on the consolidated balance sheets and 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cost. As of June 30, 2026 and September 30, 2025, the Company did not hold any treasury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authorizes the issuance of "blank check" preferred stock with designations, rights and preferences as may be determined from time to time by our board of directors up to an aggregate of 5,000,000 shares of preferred stock. As of June 30, 2026 and September 30, 2025, the Company has not issued any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to manage interest rate risk associated with its variable debt. The Company's objective in using these interest rate derivatives is to manage its exposure to interest rate movements and reduce volatility of interest expense. The gains and losses due to changes in the fair value of the interest rate swap agreements completely offset changes in the fair value of the hedged portion of the underlying debt. Offsetting changes in fair value of both the interest rate swaps and the hedged portion of the underlying debt are recognized in interest expense in the consolidated statements of operations. The Company does not hold or issue any derivative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evaluates the impact of global markets and economic factors on our industry and the potential for adverse effects on the Company's consolidated financial position and its operations. As of June 30, 2026 and September 30, 2025, there was no indication of any global or economic impact to our industry.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New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provides guidance on the requirements such as the requirement that public business entities on an annual basis (1) disclose specific categories in the rate reconciliation and (2) provide additional information for reconciling items that meet a quantitative threshold. DLH is a public company that reports income tax disclosures and therefore this ASU applies to the Company. ASU 2023-09 is effective for public business entities for fiscal years beginning after December 15, 2024. We will adopt ASU 2023-09 in our Annual Report on Form 10-K for the fiscal year ending September 30, 2026. We are currently evaluating the impacts of the improvements to income tax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2024, the Securities and Exchange Commission ("SEC") adopted final rules requiring registrants to provide certain climate-related disclosures in their annual reports and registration statements. In May 2026, the SEC proposed rescinding these rules, and the proposal remains subject to a public comment process and further Commission action. The Company is monitoring these developments and evaluating the potential impact, if any, on its future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 (Subtopic 220-40): Expense Disaggregation Disclosures. In January 2025, the FASB issued ASU 2025-01, Income Statement—Reporting Comprehensive Income—Expense Disaggregation Disclosures (Subtopic 220-40): Clarifying the Effective Date, which clarified the effective date of ASU 2024-03. This guidance enhances transparency in financial reporting by requiring public business entities to disclose disaggregated information about expenses in their financial statements. The guidance mandates disclosure of specific cost components, such as inventory purchases, employee compensation, depreciation, and amortization, within relevant income statement expense captions, along with qualitative descriptions of any remaining other amounts. Entities must also disclose total selling expenses and define these annually. The guidance is effective for annual reporting periods beginning after December 15, 2026, and interim reporting periods within annual reporting periods beginning after December 15, 2027. Early adoption is permitted, and the guidance may be applied prospectively or retrospectively. We are currently evaluating the impacts of the improvements to our disclosure.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4. Revenue Recognition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 balances recognized on the Company's consolidated balance sheets as follows (in thousands):</w:t>
      </w:r>
    </w:p>
    <w:tbl>
      <w:tblPr>
        <w:tblW w:w="4274" w:type="dxa"/>
        <w:jc w:val="left"/>
        <w:tblInd w:w="0" w:type="dxa"/>
        <w:tblLayout w:type="fixed"/>
        <w:tblCellMar>
          <w:top w:w="28" w:type="dxa"/>
          <w:left w:w="28" w:type="dxa"/>
          <w:bottom w:w="28" w:type="dxa"/>
          <w:right w:w="28" w:type="dxa"/>
        </w:tblCellMar>
      </w:tblPr>
      <w:tblGrid>
        <w:gridCol w:w="483"/>
        <w:gridCol w:w="425"/>
        <w:gridCol w:w="427"/>
        <w:gridCol w:w="109"/>
        <w:gridCol w:w="109"/>
        <w:gridCol w:w="109"/>
        <w:gridCol w:w="211"/>
        <w:gridCol w:w="616"/>
        <w:gridCol w:w="109"/>
        <w:gridCol w:w="109"/>
        <w:gridCol w:w="109"/>
        <w:gridCol w:w="109"/>
        <w:gridCol w:w="262"/>
        <w:gridCol w:w="896"/>
        <w:gridCol w:w="191"/>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are included as part of accounts receivable on the consolidated balance sheets. The change from prior period is primarily due to reduced revenue volume. Contract liabilities had no balance as of June 30, 2026 and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Disaggregation of Revenue from Contracts with Customers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customer, contract type, as well as whether the Company acts as prime contractor or subcontractor. We believe these categories best depict how the nature, amount, timing and uncertainty of our revenue and cash flows are affected by economic factors. The following series of tables present our revenue disaggregated by these categories: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customer was as follows (in thousands):</w:t>
      </w:r>
    </w:p>
    <w:tbl>
      <w:tblPr>
        <w:tblW w:w="9341"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Health and Human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Veterans Affairs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Defense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44,225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263,337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contract type was as follows (in thousands):</w:t>
      </w:r>
    </w:p>
    <w:tbl>
      <w:tblPr>
        <w:tblW w:w="7481"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 Fixed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263,337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whether the Company acts as a prime contractor or a subcontractor was as follows (in thousands):</w:t>
      </w:r>
    </w:p>
    <w:tbl>
      <w:tblPr>
        <w:tblW w:w="7287"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Contractor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44,225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263,337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lease balances presented on our consolidated balance sheets as follows (in thousands):</w:t>
      </w:r>
    </w:p>
    <w:tbl>
      <w:tblPr>
        <w:tblW w:w="6209" w:type="dxa"/>
        <w:jc w:val="left"/>
        <w:tblInd w:w="0" w:type="dxa"/>
        <w:tblLayout w:type="fixed"/>
        <w:tblCellMar>
          <w:top w:w="28" w:type="dxa"/>
          <w:left w:w="28" w:type="dxa"/>
          <w:bottom w:w="28" w:type="dxa"/>
          <w:right w:w="28" w:type="dxa"/>
        </w:tblCellMar>
      </w:tblPr>
      <w:tblGrid>
        <w:gridCol w:w="1141"/>
        <w:gridCol w:w="1003"/>
        <w:gridCol w:w="1006"/>
        <w:gridCol w:w="109"/>
        <w:gridCol w:w="109"/>
        <w:gridCol w:w="109"/>
        <w:gridCol w:w="211"/>
        <w:gridCol w:w="736"/>
        <w:gridCol w:w="109"/>
        <w:gridCol w:w="109"/>
        <w:gridCol w:w="109"/>
        <w:gridCol w:w="109"/>
        <w:gridCol w:w="258"/>
        <w:gridCol w:w="903"/>
        <w:gridCol w:w="188"/>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8,764</w:t>
            </w:r>
            <w:r>
              <w:rPr>
                <w:color w:val="000000"/>
              </w:rPr>
              <w:t>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14,830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16,940</w:t>
            </w:r>
            <w:r>
              <w:rPr>
                <w:color w:val="000000"/>
              </w:rPr>
              <w:t>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operating leases for facilities and equipment have remaining lease terms of less than 6 months to 6.6 years.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costs for our leases were as follows (in thousands):</w:t>
      </w:r>
    </w:p>
    <w:tbl>
      <w:tblPr>
        <w:tblW w:w="674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211"/>
        <w:gridCol w:w="48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Short-term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The Company subleases a portion of one of its leased facilities. The sublease is classified as an operating lease with respect to the underlying asset. The remaining sublease term is 4.8 years.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future minimum lease payments as of June 30, 2026 were as follows (in thousands):</w:t>
      </w:r>
    </w:p>
    <w:tbl>
      <w:tblPr>
        <w:tblW w:w="5702" w:type="dxa"/>
        <w:jc w:val="left"/>
        <w:tblInd w:w="0" w:type="dxa"/>
        <w:tblLayout w:type="fixed"/>
        <w:tblCellMar>
          <w:top w:w="28" w:type="dxa"/>
          <w:left w:w="28" w:type="dxa"/>
          <w:bottom w:w="28" w:type="dxa"/>
          <w:right w:w="28" w:type="dxa"/>
        </w:tblCellMar>
      </w:tblPr>
      <w:tblGrid>
        <w:gridCol w:w="1552"/>
        <w:gridCol w:w="1366"/>
        <w:gridCol w:w="1371"/>
        <w:gridCol w:w="109"/>
        <w:gridCol w:w="109"/>
        <w:gridCol w:w="109"/>
        <w:gridCol w:w="211"/>
        <w:gridCol w:w="721"/>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the weighted-average remaining lease term and weighted-average discount rate were 4.8 years and 6.9%, respectively. The calculation of the weighted-average discount rate was determined based on borrowing terms from our secured term loan.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our leases was as follows (in thousands):</w:t>
      </w:r>
    </w:p>
    <w:tbl>
      <w:tblPr>
        <w:tblW w:w="10205" w:type="dxa"/>
        <w:jc w:val="left"/>
        <w:tblInd w:w="0" w:type="dxa"/>
        <w:tblLayout w:type="fixed"/>
        <w:tblCellMar>
          <w:top w:w="28" w:type="dxa"/>
          <w:left w:w="28" w:type="dxa"/>
          <w:bottom w:w="28" w:type="dxa"/>
          <w:right w:w="28" w:type="dxa"/>
        </w:tblCellMar>
      </w:tblPr>
      <w:tblGrid>
        <w:gridCol w:w="1906"/>
        <w:gridCol w:w="1671"/>
        <w:gridCol w:w="1680"/>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190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Supporting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accounts receivable presented on our consolidated balance sheets as follows (in thousands):</w:t>
      </w:r>
    </w:p>
    <w:tbl>
      <w:tblPr>
        <w:tblW w:w="5201"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1"/>
        <w:gridCol w:w="736"/>
        <w:gridCol w:w="109"/>
        <w:gridCol w:w="109"/>
        <w:gridCol w:w="109"/>
        <w:gridCol w:w="109"/>
        <w:gridCol w:w="260"/>
        <w:gridCol w:w="910"/>
        <w:gridCol w:w="134"/>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38,394</w:t>
            </w: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current assets presented on our consolidated balance sheets as follows (in thousands):</w:t>
      </w:r>
    </w:p>
    <w:tbl>
      <w:tblPr>
        <w:tblW w:w="6296" w:type="dxa"/>
        <w:jc w:val="left"/>
        <w:tblInd w:w="0" w:type="dxa"/>
        <w:tblLayout w:type="fixed"/>
        <w:tblCellMar>
          <w:top w:w="28" w:type="dxa"/>
          <w:left w:w="28" w:type="dxa"/>
          <w:bottom w:w="28" w:type="dxa"/>
          <w:right w:w="28" w:type="dxa"/>
        </w:tblCellMar>
      </w:tblPr>
      <w:tblGrid>
        <w:gridCol w:w="1092"/>
        <w:gridCol w:w="958"/>
        <w:gridCol w:w="965"/>
        <w:gridCol w:w="109"/>
        <w:gridCol w:w="109"/>
        <w:gridCol w:w="109"/>
        <w:gridCol w:w="211"/>
        <w:gridCol w:w="631"/>
        <w:gridCol w:w="109"/>
        <w:gridCol w:w="109"/>
        <w:gridCol w:w="109"/>
        <w:gridCol w:w="109"/>
        <w:gridCol w:w="289"/>
        <w:gridCol w:w="865"/>
        <w:gridCol w:w="150"/>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licenses and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4,018</w:t>
            </w:r>
            <w:r>
              <w:rPr>
                <w:color w:val="000000"/>
              </w:rPr>
              <w:t>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goodwill for the nine months ended June 30, 2026. The balance of goodwill was approximately $138.2 million as of June 30, 2026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intangible assets, net presented on our consolidated balance sheets as follows (in thousands):</w:t>
      </w:r>
    </w:p>
    <w:tbl>
      <w:tblPr>
        <w:tblW w:w="7977" w:type="dxa"/>
        <w:jc w:val="left"/>
        <w:tblInd w:w="0" w:type="dxa"/>
        <w:tblLayout w:type="fixed"/>
        <w:tblCellMar>
          <w:top w:w="28" w:type="dxa"/>
          <w:left w:w="28" w:type="dxa"/>
          <w:bottom w:w="28" w:type="dxa"/>
          <w:right w:w="28" w:type="dxa"/>
        </w:tblCellMar>
      </w:tblPr>
      <w:tblGrid>
        <w:gridCol w:w="1630"/>
        <w:gridCol w:w="1433"/>
        <w:gridCol w:w="1437"/>
        <w:gridCol w:w="109"/>
        <w:gridCol w:w="109"/>
        <w:gridCol w:w="109"/>
        <w:gridCol w:w="211"/>
        <w:gridCol w:w="826"/>
        <w:gridCol w:w="109"/>
        <w:gridCol w:w="109"/>
        <w:gridCol w:w="109"/>
        <w:gridCol w:w="109"/>
        <w:gridCol w:w="240"/>
        <w:gridCol w:w="941"/>
        <w:gridCol w:w="124"/>
        <w:gridCol w:w="109"/>
        <w:gridCol w:w="109"/>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Covenants-not-to-compete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Covenants-not-to-compete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91,865</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$3.8 million and $4.1 million for the three months ended June 30, 2026 and 2025, respectively, and $12.0 million and $12.3 million for the nine months ended June 30, 2026 and 2025,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amortization expense per fiscal year was as follows (in thousands):</w:t>
      </w:r>
    </w:p>
    <w:tbl>
      <w:tblPr>
        <w:tblW w:w="4200"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211"/>
        <w:gridCol w:w="736"/>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amortization period at June 30, 2026 is as follows:</w:t>
      </w:r>
    </w:p>
    <w:tbl>
      <w:tblPr>
        <w:tblW w:w="9668" w:type="dxa"/>
        <w:jc w:val="left"/>
        <w:tblInd w:w="0" w:type="dxa"/>
        <w:tblLayout w:type="fixed"/>
        <w:tblCellMar>
          <w:top w:w="28" w:type="dxa"/>
          <w:left w:w="28" w:type="dxa"/>
          <w:bottom w:w="28" w:type="dxa"/>
          <w:right w:w="28" w:type="dxa"/>
        </w:tblCellMar>
      </w:tblPr>
      <w:tblGrid>
        <w:gridCol w:w="1632"/>
        <w:gridCol w:w="1429"/>
        <w:gridCol w:w="1438"/>
        <w:gridCol w:w="109"/>
        <w:gridCol w:w="109"/>
        <w:gridCol w:w="109"/>
        <w:gridCol w:w="1489"/>
        <w:gridCol w:w="1489"/>
        <w:gridCol w:w="1492"/>
        <w:gridCol w:w="109"/>
        <w:gridCol w:w="109"/>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Amortization Period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Covenants-not-to-compete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Equipment and improvements,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equipment and improvements, net presented on our consolidated balance sheets as follows (in thousands):</w:t>
      </w:r>
    </w:p>
    <w:tbl>
      <w:tblPr>
        <w:tblW w:w="6280" w:type="dxa"/>
        <w:jc w:val="left"/>
        <w:tblInd w:w="0" w:type="dxa"/>
        <w:tblLayout w:type="fixed"/>
        <w:tblCellMar>
          <w:top w:w="28" w:type="dxa"/>
          <w:left w:w="28" w:type="dxa"/>
          <w:bottom w:w="28" w:type="dxa"/>
          <w:right w:w="28" w:type="dxa"/>
        </w:tblCellMar>
      </w:tblPr>
      <w:tblGrid>
        <w:gridCol w:w="1092"/>
        <w:gridCol w:w="958"/>
        <w:gridCol w:w="964"/>
        <w:gridCol w:w="109"/>
        <w:gridCol w:w="109"/>
        <w:gridCol w:w="109"/>
        <w:gridCol w:w="211"/>
        <w:gridCol w:w="616"/>
        <w:gridCol w:w="109"/>
        <w:gridCol w:w="109"/>
        <w:gridCol w:w="109"/>
        <w:gridCol w:w="109"/>
        <w:gridCol w:w="289"/>
        <w:gridCol w:w="865"/>
        <w:gridCol w:w="150"/>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equipment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Equipment and improvements,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1,274</w:t>
            </w:r>
            <w:r>
              <w:rPr>
                <w:color w:val="000000"/>
              </w:rPr>
              <w:t>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was $0.2 million and $0.2 million for the three months ended June 30, 2026 and 2025, respectively, and $0.6 million and $0.5 million for the nine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payable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accounts payable and accrued liabilities presented on our consolidated balance sheets as follows (in thousands):</w:t>
      </w:r>
    </w:p>
    <w:tbl>
      <w:tblPr>
        <w:tblW w:w="7061"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211"/>
        <w:gridCol w:w="736"/>
        <w:gridCol w:w="109"/>
        <w:gridCol w:w="109"/>
        <w:gridCol w:w="109"/>
        <w:gridCol w:w="109"/>
        <w:gridCol w:w="260"/>
        <w:gridCol w:w="910"/>
        <w:gridCol w:w="134"/>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 and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19,246</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Accrued payroll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accrued payroll presented on our consolidated balance sheets as follows (in thousands):</w:t>
      </w:r>
    </w:p>
    <w:tbl>
      <w:tblPr>
        <w:tblW w:w="5260" w:type="dxa"/>
        <w:jc w:val="left"/>
        <w:tblInd w:w="0" w:type="dxa"/>
        <w:tblLayout w:type="fixed"/>
        <w:tblCellMar>
          <w:top w:w="28" w:type="dxa"/>
          <w:left w:w="28" w:type="dxa"/>
          <w:bottom w:w="28" w:type="dxa"/>
          <w:right w:w="28" w:type="dxa"/>
        </w:tblCellMar>
      </w:tblPr>
      <w:tblGrid>
        <w:gridCol w:w="716"/>
        <w:gridCol w:w="629"/>
        <w:gridCol w:w="634"/>
        <w:gridCol w:w="109"/>
        <w:gridCol w:w="109"/>
        <w:gridCol w:w="109"/>
        <w:gridCol w:w="211"/>
        <w:gridCol w:w="631"/>
        <w:gridCol w:w="109"/>
        <w:gridCol w:w="109"/>
        <w:gridCol w:w="109"/>
        <w:gridCol w:w="109"/>
        <w:gridCol w:w="260"/>
        <w:gridCol w:w="910"/>
        <w:gridCol w:w="134"/>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12,153</w:t>
            </w: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debt obligations presented on our consolidated balance sheets as follows (in thousands):</w:t>
      </w:r>
    </w:p>
    <w:tbl>
      <w:tblPr>
        <w:tblW w:w="9671" w:type="dxa"/>
        <w:jc w:val="left"/>
        <w:tblInd w:w="0" w:type="dxa"/>
        <w:tblLayout w:type="fixed"/>
        <w:tblCellMar>
          <w:top w:w="28" w:type="dxa"/>
          <w:left w:w="28" w:type="dxa"/>
          <w:bottom w:w="28" w:type="dxa"/>
          <w:right w:w="28" w:type="dxa"/>
        </w:tblCellMar>
      </w:tblPr>
      <w:tblGrid>
        <w:gridCol w:w="2232"/>
        <w:gridCol w:w="1970"/>
        <w:gridCol w:w="1977"/>
        <w:gridCol w:w="109"/>
        <w:gridCol w:w="109"/>
        <w:gridCol w:w="109"/>
        <w:gridCol w:w="211"/>
        <w:gridCol w:w="841"/>
        <w:gridCol w:w="109"/>
        <w:gridCol w:w="109"/>
        <w:gridCol w:w="109"/>
        <w:gridCol w:w="109"/>
        <w:gridCol w:w="237"/>
        <w:gridCol w:w="946"/>
        <w:gridCol w:w="122"/>
        <w:gridCol w:w="109"/>
        <w:gridCol w:w="109"/>
        <w:gridCol w:w="154"/>
      </w:tblGrid>
      <w:tr>
        <w:trPr/>
        <w:tc>
          <w:tcPr>
            <w:tcW w:w="223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bank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128,033</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obligations, net of deferred financing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portion of debt obligations,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119,966</w:t>
            </w:r>
            <w:r>
              <w:rPr>
                <w:color w:val="000000"/>
              </w:rPr>
              <w:t>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satisfied quarterly minimum principal payments on our secured term loan until March 31, 2027, and have made a partial payment toward the principal due as of that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As of June 30, 2026, the current portion comprises term loan amortization of $9.3 million and the $13.7 million outstanding balance on the secured revolving line of credit, net of $1.7 million of unamortized deferred financing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interest expense presented on our consolidated statements of operations as follows (in thousands):</w:t>
      </w:r>
    </w:p>
    <w:tbl>
      <w:tblPr>
        <w:tblW w:w="9233" w:type="dxa"/>
        <w:jc w:val="left"/>
        <w:tblInd w:w="0" w:type="dxa"/>
        <w:tblLayout w:type="fixed"/>
        <w:tblCellMar>
          <w:top w:w="28" w:type="dxa"/>
          <w:left w:w="28" w:type="dxa"/>
          <w:bottom w:w="28" w:type="dxa"/>
          <w:right w:w="28" w:type="dxa"/>
        </w:tblCellMar>
      </w:tblPr>
      <w:tblGrid>
        <w:gridCol w:w="1321"/>
        <w:gridCol w:w="1156"/>
        <w:gridCol w:w="1167"/>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Interest expense on borrowing.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Interest earned from customer payments received after the due 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Amortization of expenses related to secured term loan and secured revolving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recorded a noncash valuation allowance of approximately $10.4 million against its deferred tax assets. The deferred tax assets primarily related to net operating loss carryforwards and interest expense carryforwards, which have an indefinite life, as well as other deductible temporary differences. In assessing the realizability of its deferred tax assets, the Company considered all available positive and negative evidence. Based primarily on cumulative losses in recent periods, the Company concluded that it is more likely than not that the deferred tax assets will not be realized. Accordingly, the Company recorded a valuation allowance against its deferred tax assets. The valuation allowance was reflected as a component of income tax expense for the three and nine months ended June 30, 2026. The adjustment was noncash and did not result in a current-period cash income tax payment. The valuation allowance will be evaluated quarterly and may be reversed as the Company's conditions change.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Credit Facilities</w:t>
      </w:r>
    </w:p>
    <w:p>
      <w:pPr>
        <w:pStyle w:val="TextBody"/>
        <w:bidi w:val="0"/>
        <w:spacing w:before="0" w:after="60"/>
        <w:jc w:val="both"/>
        <w:rPr/>
      </w:pPr>
      <w:r>
        <w:rPr/>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A summary of our credit facilities as presented on our consolidated balance sheets as follows (in thousands):</w:t>
      </w:r>
    </w:p>
    <w:tbl>
      <w:tblPr>
        <w:tblW w:w="10205" w:type="dxa"/>
        <w:jc w:val="left"/>
        <w:tblInd w:w="0" w:type="dxa"/>
        <w:tblLayout w:type="fixed"/>
        <w:tblCellMar>
          <w:top w:w="28" w:type="dxa"/>
          <w:left w:w="28" w:type="dxa"/>
          <w:bottom w:w="28" w:type="dxa"/>
          <w:right w:w="28" w:type="dxa"/>
        </w:tblCellMar>
      </w:tblPr>
      <w:tblGrid>
        <w:gridCol w:w="1337"/>
        <w:gridCol w:w="1173"/>
        <w:gridCol w:w="1179"/>
        <w:gridCol w:w="109"/>
        <w:gridCol w:w="109"/>
        <w:gridCol w:w="109"/>
        <w:gridCol w:w="228"/>
        <w:gridCol w:w="897"/>
        <w:gridCol w:w="117"/>
        <w:gridCol w:w="109"/>
        <w:gridCol w:w="109"/>
        <w:gridCol w:w="109"/>
        <w:gridCol w:w="372"/>
        <w:gridCol w:w="372"/>
        <w:gridCol w:w="374"/>
        <w:gridCol w:w="109"/>
        <w:gridCol w:w="109"/>
        <w:gridCol w:w="109"/>
        <w:gridCol w:w="109"/>
        <w:gridCol w:w="109"/>
        <w:gridCol w:w="228"/>
        <w:gridCol w:w="897"/>
        <w:gridCol w:w="117"/>
        <w:gridCol w:w="109"/>
        <w:gridCol w:w="109"/>
        <w:gridCol w:w="109"/>
        <w:gridCol w:w="372"/>
        <w:gridCol w:w="372"/>
        <w:gridCol w:w="374"/>
        <w:gridCol w:w="109"/>
        <w:gridCol w:w="161"/>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5"/>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5"/>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term loan (a) due December 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+ 4.1%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revolving line of credit (b) due December 8,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+ 4.1%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13"/>
        </w:rPr>
        <w:t>1</w:t>
      </w:r>
      <w:r>
        <w:rPr>
          <w:rFonts w:ascii="Times New Roman;serif" w:hAnsi="Times New Roman;serif"/>
          <w:b w:val="false"/>
          <w:color w:val="000000"/>
          <w:sz w:val="20"/>
        </w:rPr>
        <w:t>Secured Overnight Financing Rate ("SOFR") as of June 30, 2026 and September 30, 2025 were</w:t>
      </w:r>
      <w:r>
        <w:rPr>
          <w:color w:val="000000"/>
          <w:shd w:fill="FFFFFF" w:val="clear"/>
        </w:rPr>
        <w:t xml:space="preserve"> </w:t>
      </w:r>
      <w:r>
        <w:rPr>
          <w:rFonts w:ascii="Times New Roman;serif" w:hAnsi="Times New Roman;serif"/>
          <w:b w:val="false"/>
          <w:color w:val="000000"/>
          <w:sz w:val="20"/>
          <w:shd w:fill="FFFFFF" w:val="clear"/>
        </w:rPr>
        <w:t xml:space="preserve">3.7% and 4.3%,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Represents the principal amounts payable on our term loan, which is secured by liens on substantially all of the assets of the Company. The principal of the term loan is payable in quarterly installments with the remaining balance due on December 8, 2027.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31, 2023, we executed a floating-to-fixed interest rate swap with First National Bank ("FNB") that had an ending notional amount of $74.0 million and a fixed interest rate of 4.1%, which matured on January 31, 2026. As of June 30, 2026, no interest rate swaps were outstanding, and all debt is subject to floating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compliance with a number of financial covenants and contains restrictions on our ability to engage in certain transactions. Among other matters, we must comply with limitations on: granting liens; incurring other indebtedness; maintenance of assets; investments in other entities and extensions of credit; mergers and consolidations; and changes in nature of business. On November 6, 2024, the Company completed an amendment to its credit facility. The amendment modified certain financial covenants thresholds and reduced the amount available under the revolving line of credit. On June 11, 2026, the Company completed an amendment to its credit facility. The amendment modified certain definitions and financial covenants thresholds. The amendments were approved by the Company's Board of Directors, Executive Management, and the credit facility lenders.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amended, the Credit Agreement requires us to comply with certain quarterly financial covenants including: (i) a minimum fixed charge coverage ratio ranging from 1.25:1.00 to 1.05:1.00 and (ii) a total leverage ratio not exceeding the ratio of 5.50:1.00 to 4.25:1.00 through maturity. The total leverage ratio is calculated by dividing the Company's total interest-bearing debt by net income adjusted to exclude (i) interest and other expenses, (ii) provision for income taxes, if any, (iii) depreciation and amortization, (iv) non-cash charges, losses or expenses, including stock-based compensation, (v) non-recurring charges, losses or expenses including transaction and non-cash equity expense, (vi) fiscal 2026 losses, expenses, or non-cash charges arising from or related to the termination of a lease, (vii) cash restructuring charges, including termination costs, incurred during fiscal 2026, and (viii) up to $3.0 million of pro forma consolidated net Income attributable to material contract awards entered into following the amendment. We are in compliance with all loan covenants and restrictions as of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are required to pay quarterly amortization payments, which commenced in December 2022. The annual amortization amount is $19.0 million for the fiscal year 2026, and $23.75 million for fiscal year 2027, with the remaining unpaid loan balance due at maturity in December 2027. The quarterly payments are equal installments. The outstanding principal balance on the secured term loan was $115.0 million as of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have satisfied the mandatory principal payments through December 2026 and partially satisfied the March 2027 payment.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addition to quarterly payments of the outstanding indebtedness, the loan agreement also requires annual payments of a percentage of excess cash flow, as defined in the loan agreement. The loan agreement states that an excess cash flow recapture payment must be made equal to (a) 75% of the excess cash flow for the immediately preceding fiscal year in which indebtedness to consolidated EBITDA ratio is greater than or equal to 2.5:1; (b) 50% of the excess cash flow for the immediately preceding fiscal year in which the funded indebtedness to consolidated EBITDA Ratio is less than 2.5:1 but greater than or equal to 1.5:1; or (c) 0% of the excess cash flow for the immediately preceding fiscal year in which the funded indebtedness to consolidated EBITDA Ratio is less than 1.5:1. In addition, the Company must make additional mandatory prepayment of amounts outstanding based on proceeds received from asset sales and sales of certain equity securities or other indebtedness. Due to the voluntary prepayment of term debt, there was no excess cash flow payment required. For additional information regarding the schedule of future payment obligations, please refer to </w:t>
      </w:r>
      <w:hyperlink w:anchor="i7fd49d02cba14bc1917e7276ec8ef181_58">
        <w:r>
          <w:rPr>
            <w:rStyle w:val="InternetLink"/>
            <w:rFonts w:ascii="Times New Roman;serif" w:hAnsi="Times New Roman;serif"/>
            <w:b w:val="false"/>
            <w:color w:val="0000FF"/>
            <w:sz w:val="20"/>
            <w:u w:val="single"/>
          </w:rPr>
          <w:t>Note 10. Commitments and Contingencies</w:t>
        </w:r>
      </w:hyperlink>
      <w:r>
        <w:rPr>
          <w:rFonts w:ascii="Times New Roman;serif" w:hAnsi="Times New Roman;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As amended, the secured revolving line of credit has a ceiling of up to $50.0 million; as of June 30, 2026, we had unused borrowing capacity of $5.0 million, which is net of outstanding letters of credit. Borrowing on the secured revolving line of credit is secured by liens on substantially all of the assets of the Company. The Company accessed funds from the secured revolving line of credit during the year, which had a $13.7 million outstanding balance at June 30, 2026. As part of the secured revolving line of credit, the lenders agreed to a sublimit of $5.0 million for letters of credit for the account of the Company, subject to applicable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Stock-Based Compensation and Equity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 expense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issued under equity incentive plans were designated as either an incentive stock or a non-statutory stock option. No option was granted with a term of more than 10 years from the date of grant. Exercisability of option awards may depend on achievement of certain performance measures determined by the Compensation Committee of our Board. Shares issued upon option exercise are newly issued shares. As of June 30, 2026, there were 1.2 million shares available for grant under the 2025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shown in the table below, is recorded in general and administrative expenses in our consolidated statements of operations as follows (in thousands):</w:t>
      </w:r>
    </w:p>
    <w:p>
      <w:pPr>
        <w:pStyle w:val="TextBody"/>
        <w:bidi w:val="0"/>
        <w:spacing w:before="0" w:after="0"/>
        <w:jc w:val="both"/>
        <w:rPr/>
      </w:pPr>
      <w:r>
        <w:rPr/>
      </w:r>
    </w:p>
    <w:tbl>
      <w:tblPr>
        <w:tblW w:w="8228" w:type="dxa"/>
        <w:jc w:val="left"/>
        <w:tblInd w:w="0" w:type="dxa"/>
        <w:tblLayout w:type="fixed"/>
        <w:tblCellMar>
          <w:top w:w="28" w:type="dxa"/>
          <w:left w:w="28" w:type="dxa"/>
          <w:bottom w:w="28" w:type="dxa"/>
          <w:right w:w="28" w:type="dxa"/>
        </w:tblCellMar>
      </w:tblPr>
      <w:tblGrid>
        <w:gridCol w:w="1080"/>
        <w:gridCol w:w="949"/>
        <w:gridCol w:w="955"/>
        <w:gridCol w:w="109"/>
        <w:gridCol w:w="109"/>
        <w:gridCol w:w="109"/>
        <w:gridCol w:w="211"/>
        <w:gridCol w:w="54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DLH employees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Included in this amount are equity grants of restricted stock units ("RSU") to Executive Officers, which were issued in accordance with the DLH long-term incentive compensation policy in this fiscal year, and stock option grants to employees during prior fiscal years. The RSUs issued and outstanding totaled 569,356 and 697,384 shares at June 30, 2026 and 2025, respectively. During the nine months ended June 30, 2026 and 2025, the Company granted 550,855 and 312,906 shares of restricted stock units, respectively. Of the RSUs granted during the nine months ended June 30, 2026, 380,338 shares have performance and market based vesting criteria and the remaining 170,517 shares have service-based vesting criteria. Of the 170,517 service-based RSUs granted during the nine months ended June 30, 2026, 123,809 restricted stock units were granted during three months ended June 30, 2026. Of the RSUs granted during the nine months ended June 30, 2025, 156,453 shares have performance and market based vesting criteria and the remaining 156,453 shares have service-based vesting criteria.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RSUs granted were valued using the Monte Carlo Method, and will be amortized over the 3-year measurement period.</w:t>
      </w:r>
    </w:p>
    <w:tbl>
      <w:tblPr>
        <w:tblW w:w="10205" w:type="dxa"/>
        <w:jc w:val="left"/>
        <w:tblInd w:w="0" w:type="dxa"/>
        <w:tblLayout w:type="fixed"/>
        <w:tblCellMar>
          <w:top w:w="28" w:type="dxa"/>
          <w:left w:w="28" w:type="dxa"/>
          <w:bottom w:w="28" w:type="dxa"/>
          <w:right w:w="28" w:type="dxa"/>
        </w:tblCellMar>
      </w:tblPr>
      <w:tblGrid>
        <w:gridCol w:w="499"/>
        <w:gridCol w:w="435"/>
        <w:gridCol w:w="413"/>
        <w:gridCol w:w="364"/>
        <w:gridCol w:w="323"/>
        <w:gridCol w:w="325"/>
        <w:gridCol w:w="1795"/>
        <w:gridCol w:w="1739"/>
        <w:gridCol w:w="1702"/>
        <w:gridCol w:w="109"/>
        <w:gridCol w:w="109"/>
        <w:gridCol w:w="109"/>
        <w:gridCol w:w="215"/>
        <w:gridCol w:w="215"/>
        <w:gridCol w:w="216"/>
        <w:gridCol w:w="109"/>
        <w:gridCol w:w="109"/>
        <w:gridCol w:w="109"/>
        <w:gridCol w:w="235"/>
        <w:gridCol w:w="572"/>
        <w:gridCol w:w="122"/>
        <w:gridCol w:w="109"/>
        <w:gridCol w:w="109"/>
        <w:gridCol w:w="163"/>
      </w:tblGrid>
      <w:tr>
        <w:trPr/>
        <w:tc>
          <w:tcPr>
            <w:tcW w:w="4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Volatility</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Grant Date</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Vesting Base</w:t>
            </w:r>
          </w:p>
        </w:tc>
        <w:tc>
          <w:tcPr>
            <w:tcW w:w="52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Vesting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1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increase at the end of the performance period as compared to the year ended September 30, 2028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5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is at least $12.62 per share average for the 30 days prior to the end of the performance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 2024</w:t>
            </w:r>
          </w:p>
        </w:tc>
        <w:tc>
          <w:tcPr>
            <w:tcW w:w="1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2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increase at the end of the performance period as compared to the year ended September 30,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 2024</w:t>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5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is at least $23.04 per share average for the 30 days prior to the end of the performance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Notes:</w:t>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Results based on 100,000 simulations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Equity grants of RSUs were made in accordance with DLH compensation policy for non-employee directors and a total of 67,615 and 61,525 restricted stock units were issued and outstanding at June 30, 2026 and 2025, respectively. These grants have service-based vesting criteria and vest at the end of this fiscal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Unrecognized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Unrecognized stock-based compensation expense is presented in the table below (in thousands):</w:t>
      </w:r>
    </w:p>
    <w:tbl>
      <w:tblPr>
        <w:tblW w:w="7097" w:type="dxa"/>
        <w:jc w:val="left"/>
        <w:tblInd w:w="0" w:type="dxa"/>
        <w:tblLayout w:type="fixed"/>
        <w:tblCellMar>
          <w:top w:w="28" w:type="dxa"/>
          <w:left w:w="28" w:type="dxa"/>
          <w:bottom w:w="28" w:type="dxa"/>
          <w:right w:w="28" w:type="dxa"/>
        </w:tblCellMar>
      </w:tblPr>
      <w:tblGrid>
        <w:gridCol w:w="1522"/>
        <w:gridCol w:w="1335"/>
        <w:gridCol w:w="1342"/>
        <w:gridCol w:w="109"/>
        <w:gridCol w:w="109"/>
        <w:gridCol w:w="109"/>
        <w:gridCol w:w="211"/>
        <w:gridCol w:w="616"/>
        <w:gridCol w:w="109"/>
        <w:gridCol w:w="109"/>
        <w:gridCol w:w="109"/>
        <w:gridCol w:w="109"/>
        <w:gridCol w:w="211"/>
        <w:gridCol w:w="616"/>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expense for DLH employees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expense for 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unrecognized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On a weighted average basis, the unrecognized expense as of June 30, 2026 is expected to be recognized within the next 2.80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 activity for the nine months ended June 30, 2026:</w:t>
      </w:r>
    </w:p>
    <w:tbl>
      <w:tblPr>
        <w:tblW w:w="8359"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669"/>
        <w:gridCol w:w="669"/>
        <w:gridCol w:w="671"/>
        <w:gridCol w:w="109"/>
        <w:gridCol w:w="109"/>
        <w:gridCol w:w="109"/>
        <w:gridCol w:w="413"/>
        <w:gridCol w:w="413"/>
        <w:gridCol w:w="246"/>
        <w:gridCol w:w="109"/>
        <w:gridCol w:w="109"/>
        <w:gridCol w:w="109"/>
        <w:gridCol w:w="449"/>
        <w:gridCol w:w="451"/>
        <w:gridCol w:w="191"/>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Performance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Service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232,461 </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232,460 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464,921 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380,338 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98,764 </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470,592 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569,356 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 activity for the nine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below represents the total pretax intrinsic value (i.e., the difference between the Company’s closing stock price on the last trading day of the period and the exercise price, times the number of shares) that would have been received by the option holders had all option holders exercised their in the money options on those dates. This amount will change based on the fair market value of the Company’s stock. A summary of the Company's stock option awards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9735" w:type="dxa"/>
        <w:jc w:val="left"/>
        <w:tblInd w:w="0" w:type="dxa"/>
        <w:tblLayout w:type="fixed"/>
        <w:tblCellMar>
          <w:top w:w="28" w:type="dxa"/>
          <w:left w:w="28" w:type="dxa"/>
          <w:bottom w:w="28" w:type="dxa"/>
          <w:right w:w="28" w:type="dxa"/>
        </w:tblCellMar>
      </w:tblPr>
      <w:tblGrid>
        <w:gridCol w:w="1265"/>
        <w:gridCol w:w="1112"/>
        <w:gridCol w:w="1118"/>
        <w:gridCol w:w="109"/>
        <w:gridCol w:w="109"/>
        <w:gridCol w:w="109"/>
        <w:gridCol w:w="419"/>
        <w:gridCol w:w="419"/>
        <w:gridCol w:w="421"/>
        <w:gridCol w:w="109"/>
        <w:gridCol w:w="109"/>
        <w:gridCol w:w="109"/>
        <w:gridCol w:w="228"/>
        <w:gridCol w:w="569"/>
        <w:gridCol w:w="119"/>
        <w:gridCol w:w="109"/>
        <w:gridCol w:w="109"/>
        <w:gridCol w:w="109"/>
        <w:gridCol w:w="372"/>
        <w:gridCol w:w="372"/>
        <w:gridCol w:w="382"/>
        <w:gridCol w:w="109"/>
        <w:gridCol w:w="109"/>
        <w:gridCol w:w="109"/>
        <w:gridCol w:w="365"/>
        <w:gridCol w:w="704"/>
        <w:gridCol w:w="190"/>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Intrinsic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Options 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1,095</w:t>
            </w:r>
            <w:r>
              <w:rPr>
                <w:color w:val="000000"/>
              </w:rPr>
              <w:t>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Vested and exercisable,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w:t>
            </w:r>
            <w:r>
              <w:rPr>
                <w:color w:val="000000"/>
              </w:rPr>
              <w:t> </w:t>
            </w:r>
          </w:p>
        </w:tc>
        <w:tc>
          <w:tcPr>
            <w:tcW w:w="4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9.48</w:t>
            </w:r>
            <w:r>
              <w:rPr>
                <w:color w:val="000000"/>
              </w:rPr>
              <w:t> </w:t>
            </w:r>
          </w:p>
        </w:tc>
        <w:tc>
          <w:tcPr>
            <w:tcW w:w="1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option shares outstanding, vested and unvested balance as follows (in thousands):</w:t>
      </w:r>
    </w:p>
    <w:tbl>
      <w:tblPr>
        <w:tblW w:w="5432"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109"/>
        <w:gridCol w:w="364"/>
        <w:gridCol w:w="269"/>
        <w:gridCol w:w="271"/>
        <w:gridCol w:w="109"/>
        <w:gridCol w:w="109"/>
        <w:gridCol w:w="109"/>
        <w:gridCol w:w="434"/>
        <w:gridCol w:w="434"/>
        <w:gridCol w:w="436"/>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1,095</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937</w:t>
            </w:r>
            <w:r>
              <w:rPr>
                <w:color w:val="000000"/>
              </w:rPr>
              <w:t> </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Certain awards vest upon satisfaction of certain performance criteria.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income available to common shareholders by the weighted average number of common shares outstanding and restricted stock grants that vested or are likely to vest during the period. Diluted earnings per share is calculated by dividing income available to common shareholders by the weighted average number of basic common shares outstanding, adjusted to reflect potentially dilutive securities, unless such effect is anti-dilutive. Diluted earnings per share is calculated using the treasury stock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 information is presented in the table below (in thousands except for per share amounts):</w:t>
      </w:r>
    </w:p>
    <w:tbl>
      <w:tblPr>
        <w:tblW w:w="10205" w:type="dxa"/>
        <w:jc w:val="center"/>
        <w:tblInd w:w="0" w:type="dxa"/>
        <w:tblLayout w:type="fixed"/>
        <w:tblCellMar>
          <w:top w:w="28" w:type="dxa"/>
          <w:left w:w="28" w:type="dxa"/>
          <w:bottom w:w="28" w:type="dxa"/>
          <w:right w:w="28" w:type="dxa"/>
        </w:tblCellMar>
      </w:tblPr>
      <w:tblGrid>
        <w:gridCol w:w="2044"/>
        <w:gridCol w:w="1268"/>
        <w:gridCol w:w="1266"/>
        <w:gridCol w:w="109"/>
        <w:gridCol w:w="109"/>
        <w:gridCol w:w="109"/>
        <w:gridCol w:w="211"/>
        <w:gridCol w:w="769"/>
        <w:gridCol w:w="109"/>
        <w:gridCol w:w="109"/>
        <w:gridCol w:w="109"/>
        <w:gridCol w:w="109"/>
        <w:gridCol w:w="211"/>
        <w:gridCol w:w="511"/>
        <w:gridCol w:w="109"/>
        <w:gridCol w:w="109"/>
        <w:gridCol w:w="109"/>
        <w:gridCol w:w="109"/>
        <w:gridCol w:w="211"/>
        <w:gridCol w:w="769"/>
        <w:gridCol w:w="109"/>
        <w:gridCol w:w="109"/>
        <w:gridCol w:w="109"/>
        <w:gridCol w:w="109"/>
        <w:gridCol w:w="211"/>
        <w:gridCol w:w="616"/>
        <w:gridCol w:w="109"/>
        <w:gridCol w:w="109"/>
        <w:gridCol w:w="109"/>
        <w:gridCol w:w="156"/>
      </w:tblGrid>
      <w:tr>
        <w:trPr/>
        <w:tc>
          <w:tcPr>
            <w:tcW w:w="20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per share - weighted-average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per share - weighted-average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For the three and nine months ended June 30, 2026, stock options and restricted stock units representing approximately 68 thousand shares were excluded from the computation of diluted net loss per share because their effect would have been anti-dilutive.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Contractual obligations as of June 30, 2026 are as follows (in thousands):</w:t>
      </w:r>
    </w:p>
    <w:tbl>
      <w:tblPr>
        <w:tblW w:w="9996" w:type="dxa"/>
        <w:jc w:val="left"/>
        <w:tblInd w:w="0" w:type="dxa"/>
        <w:tblLayout w:type="fixed"/>
        <w:tblCellMar>
          <w:top w:w="28" w:type="dxa"/>
          <w:left w:w="28" w:type="dxa"/>
          <w:bottom w:w="28" w:type="dxa"/>
          <w:right w:w="28" w:type="dxa"/>
        </w:tblCellMar>
      </w:tblPr>
      <w:tblGrid>
        <w:gridCol w:w="940"/>
        <w:gridCol w:w="824"/>
        <w:gridCol w:w="830"/>
        <w:gridCol w:w="211"/>
        <w:gridCol w:w="841"/>
        <w:gridCol w:w="109"/>
        <w:gridCol w:w="211"/>
        <w:gridCol w:w="736"/>
        <w:gridCol w:w="109"/>
        <w:gridCol w:w="211"/>
        <w:gridCol w:w="736"/>
        <w:gridCol w:w="109"/>
        <w:gridCol w:w="211"/>
        <w:gridCol w:w="841"/>
        <w:gridCol w:w="109"/>
        <w:gridCol w:w="211"/>
        <w:gridCol w:w="631"/>
        <w:gridCol w:w="109"/>
        <w:gridCol w:w="211"/>
        <w:gridCol w:w="631"/>
        <w:gridCol w:w="109"/>
        <w:gridCol w:w="225"/>
        <w:gridCol w:w="675"/>
        <w:gridCol w:w="166"/>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4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Per Fiscal Year</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operating leases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contractual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146,339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103,218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2,697</w:t>
            </w: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commercial enterprise and employer, the Company is subject to various claims and legal actions in the ordinary course of business. These matters can include professional liability, employment-relations issues, workers’ compensation, tax, payroll and employee-related matters, other commercial disputes arising in the ordinary course of business, and inquiries and investigations by governmental agencies regarding our employment practices or other matters. The Company is not aware of any pending or threatened litigation that it believes is reasonably likely to have a material adverse effect on its results of operations, financial position or cash flows.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for the nine months ended June 30, 2026 and 2025, there were no significant related party transactions that have occurred which require disclosure through the date that these consolidated financial statements were issued.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evaluated subsequent events through the date that the Company's unaudited consolidated financial statements were issued. Based on this evaluation, the Company identified the following subsequent event: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entered into an 11-year lease agreement to replace leases that expire in December 2026. The lease has approximately 20,265 rentable square feet of office and lab space in Durham, North Carolina. The lease is expected to commence on January 1, 2027, unless an earlier commencement occurs pursuant to the terms of the lease agreement and represents a future contractual commitment of approximately $7.4 million in undiscounted base rent payments over the initial lease term. Given that the lease had not commenced as of June 30, 2026, no right-of-use asset or lease liability was recognized in the accompanying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 w:name="i4501b62ef4a94c05a929fd7b71a49d91"/>
      <w:bookmarkEnd w:id="7"/>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and Cautionary Statements</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in conjunction with the Consolidated Financial Statements and the notes to those statements included elsewhere in this Quarterly Report on Form 10-Q, as well as our Annual Report on Form 10-K for the year ended September 30, 2025, and in other reports we have subsequently filed with the SEC. This Quarterly Report on Form 10-Q contains certain statements that are forward-looking within the meaning of the Private Securities Litigation Reform Act of 1995. Certain statements contained in this Management’s Discussion and Analysis are forward-looking statements that involve risks and uncertainties. Any statements that refer to expectations, projections or other characterizations of future events or circumstances or that are not statements of historical fact (including without limitation statements to the effect that the Company or its management “believes”, “expects”, “anticipates”, “plans”, “intends” and similar expressions) should be considered forward-looking statements that involve risks and uncertainties which could cause actual events or DLH’s actual results to differ materially from those indicated by the forward-looking statements. Forward-looking statements in this report include, among others, statements regarding benefits of acquisitions, estimates of future revenues, operating income, earnings, earnings per share, backlog, and cash flows. These statements reflect our belief and assumptions as to future events that may not prove to be accurate. Our actual results may differ materially from such forward-looking statements made in this report due to a variety of factors, including: the failure to achieve the anticipated benefits of any future acquisition (including anticipated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future financial operating performance and results); the inability to retain employees and customers; contract awards in connection with re-competes for present business and/or competition for new business; our ability to manage our debt obligations; compliance with bank financial and other covenants; changes in client budgetary priorities; government contract procurement (such as bid and award protests, small business set asides, loss of work due to organizational conflicts of interest, etc.) and termination risks; significant delays or reductions in appropriations for our programs and broader changes in U.S. government funding and spending patterns; legislation that amends or changes discretionary spending levels or budget priorities; legal, regulatory, and political changes from the federal government that could result in economic uncertainty; the impact of inflation and higher interest rates; and other risks described in our SEC filings. For a discussion of such risks and uncertainties which could cause actual results to differ from those contained in the forward-looking statements, see “Risk Factors” in the Company’s periodic reports filed with the SEC, including our Annual Report on Form 10-K for the fiscal year ended September 30, 2025, as well as interim quarterly filings thereafter. The forward-looking statements contained herein are not historical facts, but rather are based on current expectations, estimates, assumptions and projections about our industry and business. Such forward-looking statements are made as of the date hereof and may become outdated over time. The Company does not assume any responsibility for updating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 and Background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DLH Holdings Corp. ("DLH") delivers improved health and readiness solutions for federal government customers through digital transformation and cyber security, science research and development, and systems engineering and integration. We bring a unique combination of government sector experience, proven methodology, and unwavering commitment to solve the complex problems faced by civilian and military customers alike, doing so by leveraging multiple capabilities, including cyber technology, artificial intelligence, advanced analytics, cloud-based applications, and telehealth systems.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Competitive Advantages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we are advantageously positioned within our markets through a number of features including, but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highly credentialed workforce;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predominantly performing as the prime contractor;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strong past performance record across our government contracts;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strong bipartisan support for our key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invested in leading credentials and capabilities that we expect will deliver value to our customers. These investments include the development of secure Information Technology ("IT") platforms; sophisticated data analytic tools and techniques; and implementation process improvement and quality assurance programs and techniques. We are actively pursuing additional credentials that will support our customers' ever evolving missions.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Solutions and Services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focus on improved deployment and efficiency of large-scale health and defense initiatives for multiple agencies within the federal government, including the Department of Health and Human Services ("HHS"), the Department of Veterans Affairs ("VA"), Department of Defense ("DoD"), and many of their sub-agencies.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deliver services primarily through prime contracts awarded by the federal government through competitive bidding processes. We have a diverse mix of contract vehicles with various agencies of the federal government, which supports our overall corporate growth strategy. Our revenue is distributed to time and materials contracts (34.6%), firm fixed price contracts (40.7%), and cost reimbursable contracts (24.7%).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the following services and solutions, which are aligned with the long-term needs of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Digital Transformation and Cyber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Science Research and Development;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Systems Engineering and Integration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Digital Transformation and Cyber 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critical digital transformation and cyber security solutions across the federal civilian and cyber defense communities, leveraging advanced technology to modernize obsolete systems, protect sensitive information, manage large datasets, enhance operational efficiency and implement robotic process automation. Our suite of tools includes artificial intelligence and machine learning, cloud enablement, cybersecurity ecosystem, big data analytics, and modeling and simulation.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modernization and cyber security maturity are priority initiatives throughout our customer set. Our customers, including numerous institutes and centers within the National Institutes of Health ("NIH"), the Defense Health Agency ("DHA"), The U.S. Army Institute of Surgical Research ("USAISR"), and US Navy, rely on our information technology support to enable their vital missions. We work with these customers to reduce risk and build resilience to cyber and physical threats to the federal government’s infrastructure, providing the full spectrum of cyber capabilities, cryptographic and true cyber engineering, Certified Information Security Officer ("CISO") / Information System Security Officer ("ISSO") support, risk management frameworks, Continuity of Operations ("COOP") / Disaster Recovery, services under Cybersecurity Maturity Model Certification ("CMMC") Level 2, and enterprise infrastructure and cloud governance focused on designing and implementing zero trust architecture.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Science Research and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advance scientific knowledge and understanding through our extensive research portfolio and domain expertise. We primarily provide large-scale data analytics, testing and evaluation, clinical trials research services, and epidemiology studies to support multiple operating divisions within HHS, including NIH and the Centers for Disease Control and Prevention ("CDC"), as well as the Military Health System.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support innovative, cutting-edge research on emerging trends, health informatics analyses, and the application of best practices including mobile, social, and interactive media. We leverage evidence-based methods and web technology to drive health equity to our most vulnerable populations through public engagement. Projects often involve highly specialized expertise and transformative R&amp;D support services. Our decades of experience designing, conducting, and analyzing studies for our diverse customer base, and our full-service clinical research solutions are designed for each customer’s specific research and development program. Our employees provide expert knowledge and experience that supports the missions of our customers' 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Systems Engineering and Integration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employees specialize in delivering engineering solutions that support our customers' evolving needs by rapidly deploying resources, solutions, and services. This includes specialized engineering expertise, encompassing areas of Command, Control, Communications, Computers, Cyber-Defense, Combat Systems, and Intelligence, Surveillance, and Reconnaissance ("C6ISR"), modeling, simulation &amp; training, performance based logistics, system modernization, technology-enabled health solutions and software engineering on behalf of the US Navy, HHS, VA, and other federal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automation to accelerate infrastructure innovation and help customers define a lifecycle for automation assets, as well as set standards for version control, testing, and release processes that proved a robust foundation for their customers. DLH delivers IT operational resilience and efficiency in parallel with technology innovation integration, via hybrid and multi-cloud solutions, leveraging integrated services, process automation, advanced tool stacks, and mature quality processes. Our employees engineer, implement, and operate solutions that demonstrate measurable results to satisfy our customer’s management requirements, thus helping customers to confidently deploy secure platforms and technologies that reduce operational costs. We have invested in agile software development credentials for our technical staff, and have achieved Capability Maturity Model Integration ("CMMI") level 3. Our enterprise lifecycle logistics support services encompass military systems deployed worldwide, as well as scientific and IT systems and peripherals for Federal civilian agencies.</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Major Customers</w:t>
      </w:r>
    </w:p>
    <w:p>
      <w:pPr>
        <w:pStyle w:val="TextBody"/>
        <w:bidi w:val="0"/>
        <w:spacing w:lineRule="auto" w:line="288" w:before="0" w:after="0"/>
        <w:jc w:val="both"/>
        <w:rPr/>
      </w:pPr>
      <w:r>
        <w:rPr>
          <w:rFonts w:ascii="Times New Roman;serif" w:hAnsi="Times New Roman;serif"/>
          <w:b w:val="false"/>
          <w:color w:val="000000"/>
          <w:sz w:val="20"/>
        </w:rPr>
        <w:t>Our revenues are from agencies of the U.S. Federal government. A major customer is defined as a customer from whom we derive at least</w:t>
      </w:r>
      <w:r>
        <w:rPr>
          <w:color w:val="000000"/>
        </w:rPr>
        <w:t xml:space="preserve"> </w:t>
      </w:r>
      <w:r>
        <w:rPr>
          <w:rFonts w:ascii="Times New Roman;serif" w:hAnsi="Times New Roman;serif"/>
          <w:b w:val="false"/>
          <w:color w:val="000000"/>
          <w:sz w:val="20"/>
        </w:rPr>
        <w:t>10% of our revenues. The following table summarizes revenue by customer as follows (in thousands and percent):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7"/>
        <w:gridCol w:w="946"/>
        <w:gridCol w:w="952"/>
        <w:gridCol w:w="109"/>
        <w:gridCol w:w="109"/>
        <w:gridCol w:w="109"/>
        <w:gridCol w:w="211"/>
        <w:gridCol w:w="841"/>
        <w:gridCol w:w="109"/>
        <w:gridCol w:w="109"/>
        <w:gridCol w:w="109"/>
        <w:gridCol w:w="109"/>
        <w:gridCol w:w="444"/>
        <w:gridCol w:w="318"/>
        <w:gridCol w:w="850"/>
        <w:gridCol w:w="109"/>
        <w:gridCol w:w="109"/>
        <w:gridCol w:w="109"/>
        <w:gridCol w:w="211"/>
        <w:gridCol w:w="841"/>
        <w:gridCol w:w="109"/>
        <w:gridCol w:w="109"/>
        <w:gridCol w:w="109"/>
        <w:gridCol w:w="109"/>
        <w:gridCol w:w="444"/>
        <w:gridCol w:w="318"/>
        <w:gridCol w:w="850"/>
        <w:gridCol w:w="109"/>
        <w:gridCol w:w="109"/>
        <w:gridCol w:w="158"/>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 revenue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Health and Human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Veterans Affairs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Defense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customers with less than 10% share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263,337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8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remain dependent upon the continuation of our relationships with our major customers as a significant portion of our revenue is concentrated in each of them. Our results of operations, cash flows and financial condition would be materially adversely affected if we were unable to continue our relationship with any of these customers, if we were to lose any of our material current contracts, or if the amount of services we provide to them is materially reduced.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Major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operate primarily through prime contracts awarded by the government through competitive bidding processes. We have a diverse mix of contract vehicles with various agencies of the U.S. government, which supports our overall corporate growth strategy. A major contract is defined as a contract or set of contracts from which we derive at least</w:t>
      </w:r>
      <w:r>
        <w:rPr>
          <w:color w:val="000000"/>
        </w:rPr>
        <w:t xml:space="preserve"> </w:t>
      </w:r>
      <w:r>
        <w:rPr>
          <w:rFonts w:ascii="Times New Roman;serif" w:hAnsi="Times New Roman;serif"/>
          <w:b w:val="false"/>
          <w:color w:val="000000"/>
          <w:sz w:val="20"/>
        </w:rPr>
        <w:t>10% of our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revenue attributable to the VA was derived from separate task orders covering the Company's performance of pharmacy and logistics services at various regional locations, in support of the VA's Consolidated Mail Outpatient Pharmacy ("CMOP") program.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CMOP pharmacy and logistic services represent approximately $6.3 million and $27.0 million of revenues for the three months ended June 30, 2026 and 2025, respectively, and $52.9 million and $89.8 million of revenues for the nine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reported, the VA has been soliciting proposals for new contracts covering this work with a requirement for a Service-Disabled Veteran Owned Small Business, or SDVOSB, to perform as the prime contractor. At the start of the third quarter, DLH performed services at two CMOP locations, both of which transitioned to new contractors during the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bookmarkStart w:id="8" w:name="i2a2d730710a8430e8fb643cba7119090_9859"/>
      <w:bookmarkEnd w:id="8"/>
      <w:r>
        <w:rPr>
          <w:rFonts w:ascii="Times New Roman;serif" w:hAnsi="Times New Roman;serif"/>
          <w:b/>
          <w:color w:val="000000"/>
          <w:sz w:val="20"/>
        </w:rPr>
        <w:t>Backlog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our backlog was approximately $408.5 million of which $66.7 million was funded backlog. At September 30, 2025, our backlog was approximately $514.3 million, of which $114.1 million was funded backlog.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backlog as our estimate of remaining future revenue from existing signed contracts, assuming the exercise of all options relating to such contracts. Included in backlog are executed standalone contracts, single award IDIQ contracts, and task orders procured under multi-award IDIQ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funded backlog as the portion of backlog for which funding is appropriated and allocated to the contract by the customer and authorized for payment by the customer, once specified work is completed. Funded backlog does not include the full contract value as customers often allocate funding for contracts on a yearly or quarterly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Circumstances and events may cause changes in the amount of our backlog and funded backlog, including the execution of new contracts, extension of existing contracts, non-renewal or completion of current contracts, early termination, and adjustments to estimates. Changes in funded backlog may be affected by the funding cycles of the government. While no assurances can be given that existing contracts will result in earned revenue in any future period, or at all, our major customers have historically exercised their contractual renewal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Backlog value is quantified from management's judgment and assumptions about the volume of services based on past volume trends and current planning developed with customers.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Business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to align the Company’s capabilities with well-funded budget priorities and the current budgetary environment, we believe we are well positioned to win new business in our large addressable market. We are focused on increasing organic growth across our addressable market and delivering robust cash flow. We believe these priorities position the Company to expand within key national programs and mission-critical areas of health and national security. However, additional factors that could affect federal government spending in our addressable market include changes in set-asides for small businesses, changes in budgetary priorities associated with the current administration, and the effect of initiatives aimed at improving governmental efficiency, on limiting or reducing federal government spending in general. Further, the changing priorities of the new administration may have an adverse impact on our results and, as such new priorities are implemented, it may be difficult for us to accurately predict the effect they will have on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budget outlook for fiscal year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budget and regulatory landscape remains uncertain, and this uncertainty is expected to continue. While full-year appropriations have been enacted for a significant portion of federal agencies, the Company’s performance continues to depend on overall federal spending levels and the extent to which its capabilities align with government priorities. The administration is reviewing agency spending to improve efficiency and productivity, which has resulted in contract reductions, cancellations, and price renegotiations for the Company. Ongoing and future reviews may lead to additional adjustments or cost reduction mandates.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2026, the Administration released its proposed fiscal year 2027 budget, reflecting a continued emphasis on higher defense spending relative to previous levels. These increases in defense and national security funding are partially offset by reductions in certain civilian agency spending. While the Administration's budget provides insight into their policy initiatives and spending priorities, the federal budget is subject to Congressional appropriations authority.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closely monitors federal budget, legislative, and contracting developments to adapt its strategies accordingly. While defense and national security spending continue to receive bipartisan support amid ongoing global tensions, uncertainty remains regarding future budget priorities, funding levels, and the potential for further legislative or administrative actions affecting federal spending.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align the Company’s capabilities with well-funded budget priorities and maintain a competitive cost structure in line with expectations of future business opportunities. Based on these actions and the current budgetary environment, we believe the Company is well positioned to continue winning new business within its addressable market. The Company does not expect the funding disruptions described above to have a material impact on its operations or financial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impact of federal contractual set-aside laws and regulations: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government has an overall goal of 23% of prime contracts flowing through small businesses and various agencies within the federal government have policies that support small business goals. The effect of set-aside provisions may limit our ability to compete for prime contractor positions on programs that we recompete or that we have targeted for growth. In these cases, the Company may elect to join a team with an eligible contractor as prime for specific pursuits that align with our core markets and corporate growth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results of operations for the three months ended June 30, 2026 and 2025 (in thousands except for per share amounts, and percentage of revenue):</w:t>
      </w:r>
    </w:p>
    <w:tbl>
      <w:tblPr>
        <w:tblW w:w="10205" w:type="dxa"/>
        <w:jc w:val="left"/>
        <w:tblInd w:w="0" w:type="dxa"/>
        <w:tblLayout w:type="fixed"/>
        <w:tblCellMar>
          <w:top w:w="28" w:type="dxa"/>
          <w:left w:w="28" w:type="dxa"/>
          <w:bottom w:w="28" w:type="dxa"/>
          <w:right w:w="28" w:type="dxa"/>
        </w:tblCellMar>
      </w:tblPr>
      <w:tblGrid>
        <w:gridCol w:w="1218"/>
        <w:gridCol w:w="1071"/>
        <w:gridCol w:w="1073"/>
        <w:gridCol w:w="109"/>
        <w:gridCol w:w="109"/>
        <w:gridCol w:w="109"/>
        <w:gridCol w:w="211"/>
        <w:gridCol w:w="769"/>
        <w:gridCol w:w="109"/>
        <w:gridCol w:w="109"/>
        <w:gridCol w:w="109"/>
        <w:gridCol w:w="109"/>
        <w:gridCol w:w="308"/>
        <w:gridCol w:w="308"/>
        <w:gridCol w:w="301"/>
        <w:gridCol w:w="109"/>
        <w:gridCol w:w="109"/>
        <w:gridCol w:w="109"/>
        <w:gridCol w:w="211"/>
        <w:gridCol w:w="721"/>
        <w:gridCol w:w="109"/>
        <w:gridCol w:w="109"/>
        <w:gridCol w:w="109"/>
        <w:gridCol w:w="109"/>
        <w:gridCol w:w="308"/>
        <w:gridCol w:w="308"/>
        <w:gridCol w:w="301"/>
        <w:gridCol w:w="109"/>
        <w:gridCol w:w="109"/>
        <w:gridCol w:w="109"/>
        <w:gridCol w:w="211"/>
        <w:gridCol w:w="769"/>
        <w:gridCol w:w="109"/>
        <w:gridCol w:w="155"/>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5" w:type="dxa"/>
            <w:tcBorders/>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shd w:fill="FFFFFF" w:val="clear"/>
        </w:rPr>
        <w:t>Revenue decreased $39.1 million for the three months ended June 30, 2026 over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primarily reflecting the conversion of certain contracts in our contract portfolio to small business contractors across our customer base.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costs primarily include the costs associated with providing services to our customers. These costs are generally comprised of direct labor and associated fringe benefit costs, subcontract cost, other direct costs, and the related management and infrastructure costs. Contract costs decreased $30.8 million for the three months ended June 30, 2026 over 2025; the decrease was primarily due to the decrease in revenue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costs are for those employees not directly providing services to our customers, to include but not limited to executive management, business development, accounting, and human resources. These costs decreased $0.3 million for the three months ended June 30, 2026 as compared to 2025. As a percentage of revenue, general and administrative costs increased to 16.6% from 9.2%, primarily due to the decrease in revenue volume. During the quarter, we made additional reductions to general and administrative costs to align more closely with our expected revenue volume. The impact of the cost scaling initiatives is described in more detail in the Non-GAAP Financial Measures section.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depreciation and amortization expense were approximately $0.2 million and $3.8 million, respectively, as compared to approximately $0.2 million and $4.1 million for the three months ended June 30,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includes interest expense on the Company's term loan and amortization of deferred financing costs on debt obligations. Interest expense decreased $0.5 million for the three months ended June 30, 2026 over 2025, primarily due to the prepayment of debt and a decrease in the floating interest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Income Taxes (Benefit)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Provision for income taxes increased by $9.8 million for the three months ended June 30, 2026 over 2025. The effective tax rate for the three months ended June 30, 2026 and 2025 was (139.4)% and (34.2)%, respectively. The Company's effective tax rate differed from the federal statutory rate of 21.0% for the current period, primarily due to the establishment of a valuation allowance against deferred tax assets. During the current period, the Company concluded that it is more likely than not that its deferred tax assets would not be realized based primarily on cumulative losses in recent periods. The effective tax rate was also impacted by state income taxes and permanent differences. See </w:t>
      </w:r>
      <w:hyperlink w:anchor="i7fd49d02cba14bc1917e7276ec8ef181_46">
        <w:r>
          <w:rPr>
            <w:rStyle w:val="InternetLink"/>
            <w:rFonts w:ascii="Times New Roman;serif" w:hAnsi="Times New Roman;serif"/>
            <w:b w:val="false"/>
            <w:color w:val="0000FF"/>
            <w:sz w:val="20"/>
            <w:u w:val="single"/>
          </w:rPr>
          <w:t>Note 6. Supporting Financial Information</w:t>
        </w:r>
      </w:hyperlink>
      <w:r>
        <w:rPr>
          <w:rFonts w:ascii="Times New Roman;serif" w:hAnsi="Times New Roman;serif"/>
          <w:b w:val="false"/>
          <w:color w:val="000000"/>
          <w:sz w:val="20"/>
        </w:rPr>
        <w:t>, Income Taxes, for additional information regarding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results of operations for the nine months ended June 30, 2026 and 2025 (in thousands except for per share amounts, and percentage of 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1"/>
        <w:gridCol w:w="1021"/>
        <w:gridCol w:w="1023"/>
        <w:gridCol w:w="109"/>
        <w:gridCol w:w="109"/>
        <w:gridCol w:w="109"/>
        <w:gridCol w:w="211"/>
        <w:gridCol w:w="826"/>
        <w:gridCol w:w="109"/>
        <w:gridCol w:w="109"/>
        <w:gridCol w:w="109"/>
        <w:gridCol w:w="109"/>
        <w:gridCol w:w="308"/>
        <w:gridCol w:w="308"/>
        <w:gridCol w:w="301"/>
        <w:gridCol w:w="109"/>
        <w:gridCol w:w="109"/>
        <w:gridCol w:w="109"/>
        <w:gridCol w:w="211"/>
        <w:gridCol w:w="826"/>
        <w:gridCol w:w="109"/>
        <w:gridCol w:w="109"/>
        <w:gridCol w:w="109"/>
        <w:gridCol w:w="109"/>
        <w:gridCol w:w="308"/>
        <w:gridCol w:w="308"/>
        <w:gridCol w:w="301"/>
        <w:gridCol w:w="109"/>
        <w:gridCol w:w="109"/>
        <w:gridCol w:w="109"/>
        <w:gridCol w:w="211"/>
        <w:gridCol w:w="763"/>
        <w:gridCol w:w="109"/>
        <w:gridCol w:w="156"/>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6" w:type="dxa"/>
            <w:tcBorders/>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(20,646)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decreased $91.0 million for the nine months ended June 30, 2026 over 2025, primarily reflecting the conversion of certain contracts in our contract portfolio to small business contractors.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costs primarily include the costs associated with providing services to our customers. These costs are generally comprised of direct labor and associated fringe benefit costs, subcontract cost, other direct costs, and the related management and infrastructure costs. Contract costs decreased $71.8 million for the nine months ended June 30, 2026 over 2025. The decrease was primarily due to the decrease in revenue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costs are for those employees not directly providing services to our customers, to include but not limited to executive management, business development, accounting, and human resources. These costs decreased $1.8 million for the nine months ended June 30, 2026 over 2025. As a percentage of revenue, general and administrative costs increased to 12.8% from 9.1%, with the increase being primarily due to the change in revenue volume. During the quarter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2026, we made additional reductions to general and administrative costs to align more closely with our expected revenue volume. The impact of the cost scaling initiatives is described in more detail in the Non-GAAP Financial Measures section.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30, 2026, depreciation and amortization expense were approximately $0.6 million and $12.0 million, respectively, as compared to approximately $0.5 million and $12.3 million for the nine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includes interest expense on the Company's term loan and amortization of deferred financing costs on debt obligations. Interest expense decreased $1.9 million for nine months ended June 30, 2026 over 2025, primarily due to the prepayment of debt and a decrease in the floating interest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Income Taxes (Benefit)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Provision for income taxes increased by $7.8 million for the nine months ended June 30, 2026 over 2025. The effective tax rate for the nine months ended June 30, 2026 and 2025 was (69.7)% and 23.0%, respectively. The Company's effective tax rate differed from the federal statutory rate of 21.0% for the current period, primarily due to the establishment of a valuation allowance against deferred tax assets. During the current period, the Company concluded that it is more likely than not that its deferred tax assets would not be realized based primarily on cumulative losses in recent periods. The effective tax rate was also impacted by state income taxes and permanent differences. See </w:t>
      </w:r>
      <w:hyperlink w:anchor="i7fd49d02cba14bc1917e7276ec8ef181_46">
        <w:r>
          <w:rPr>
            <w:rStyle w:val="InternetLink"/>
          </w:rPr>
          <w:t>Note 6</w:t>
        </w:r>
      </w:hyperlink>
      <w:hyperlink w:anchor="i7fd49d02cba14bc1917e7276ec8ef181_46">
        <w:r>
          <w:rPr>
            <w:rStyle w:val="InternetLink"/>
          </w:rPr>
          <w:t xml:space="preserve">. </w:t>
        </w:r>
      </w:hyperlink>
      <w:hyperlink w:anchor="i7fd49d02cba14bc1917e7276ec8ef181_46">
        <w:r>
          <w:rPr>
            <w:rStyle w:val="InternetLink"/>
          </w:rPr>
          <w:t>Supporting Financial Information</w:t>
        </w:r>
      </w:hyperlink>
      <w:r>
        <w:rPr>
          <w:rFonts w:ascii="Times New Roman;serif" w:hAnsi="Times New Roman;serif"/>
          <w:b w:val="false"/>
          <w:color w:val="000000"/>
          <w:sz w:val="20"/>
        </w:rPr>
        <w:t>, Income Taxes, for additional information regarding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Non-GAAP Financial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presenting certain non-GAAP measures regarding its financial performance. The measures presented are Earnings Before Interest, Taxes, Depreciation, and Amortization ("EBITDA"), Adjusted EBITDA, and Adjusted Income from Operations. Adjusted EBITDA is calculated by excluding from EBITDA certain costs associated with scaling indirect costs to revenue volume and Adjusted Income from Operations is calculated by excluding such costs associated with scaling indirect costs to revenue volume from Income from Operations. These resulting measures present our financial performance compared to the results delivered in the prior year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 non-GAAP basis, EBITDA for the nine months ended June 30, 2026 and 2025 was approximately $10.1 million and $27.4 million, and Adjusted EBITDA for such periods was $15.2 million and $27.4 million, respectively. On a non-GAAP basis, Adjusted Income from Operations for the nine months ended June 30, 2026 and 2025 was approximately $2.6 million and $14.5 million, respectively. The year over year decrease in the foregoing measures primarily reflects the conversion of certain contracts in our contract portfolio to small business contractors across our customer base.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measures of performance are used by management to conduct and evaluate its business during its review of operating results for the periods presented. Management and the Company's Board utilize these non-GAAP measures to make decisions about the use of the Company's resources, analyze performance between periods, develop internal projections, and measure management performance. We have prepared Adjusted Income from Operations and Adjusted EBITDA to eliminate the impact of cost scaling initiatives that we do not consider indicative of our ongoing operating performance due to their inherently unusual nature. We believe that these non-GAAP measures are useful to investors in evaluating the Company's ongoing operating and financial results and understanding how such results compare with the Company's historical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supplemental performance measurements may vary from and may not be comparable to similarly titled measures by other companies in our industry. Adjusted Income from Operations, EBITDA, and Adjusted EBITDA are not recognized measurements under accounting principles generally accepted in the United States, or GAAP, and when analyzing our performance investors should (i) evaluate each adjustment in our reconciliation to the nearest GAAP financial measures and (ii) use these non-GAAP measures in addition to, and not as an alternative to, revenue, operating income, net income or diluted EPS, as measures of operating results, each as defined under GAAP. We have defined these non-GAAP measures as follows:</w:t>
      </w:r>
    </w:p>
    <w:p>
      <w:pPr>
        <w:pStyle w:val="TextBody"/>
        <w:bidi w:val="0"/>
        <w:spacing w:before="0" w:after="0"/>
        <w:jc w:val="both"/>
        <w:rPr/>
      </w:pPr>
      <w:r>
        <w:rPr/>
      </w:r>
    </w:p>
    <w:p>
      <w:pPr>
        <w:pStyle w:val="TextBody"/>
        <w:bidi w:val="0"/>
        <w:spacing w:lineRule="auto" w:line="288" w:before="0" w:after="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Adjusted Income from Operations” represents income from operations before the costs associated with scaling indirect expenses within contract and general and administrative costs to revenue volume, referred to below as “Cost scaling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represents net income before income taxes, interest, depreciation and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 xml:space="preserve">Adjusted EBITDA” represents net income before income taxes, interest, depreciation and amortization, and the </w:t>
      </w:r>
      <w:r>
        <w:rPr>
          <w:rFonts w:ascii="Times New Roman;serif" w:hAnsi="Times New Roman;serif"/>
          <w:b w:val="false"/>
          <w:color w:val="000000"/>
          <w:sz w:val="20"/>
          <w:shd w:fill="FFFFFF" w:val="clear"/>
        </w:rPr>
        <w:t>costs associated with scaling general and administrative costs to revenue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Below is a reconciliation of Adjusted Income from Operations, EBITDA, and Adjusted EBITDA reported for the three months ended June 30, 2026 and 2025 to its most directly comparable financial measure calculated and presented in accordance with GAAP as follows (in thousands):</w:t>
      </w:r>
    </w:p>
    <w:tbl>
      <w:tblPr>
        <w:tblW w:w="10205" w:type="dxa"/>
        <w:jc w:val="left"/>
        <w:tblInd w:w="0" w:type="dxa"/>
        <w:tblLayout w:type="fixed"/>
        <w:tblCellMar>
          <w:top w:w="28" w:type="dxa"/>
          <w:left w:w="28" w:type="dxa"/>
          <w:bottom w:w="28" w:type="dxa"/>
          <w:right w:w="28" w:type="dxa"/>
        </w:tblCellMar>
      </w:tblPr>
      <w:tblGrid>
        <w:gridCol w:w="732"/>
        <w:gridCol w:w="579"/>
        <w:gridCol w:w="582"/>
        <w:gridCol w:w="109"/>
        <w:gridCol w:w="109"/>
        <w:gridCol w:w="109"/>
        <w:gridCol w:w="211"/>
        <w:gridCol w:w="754"/>
        <w:gridCol w:w="109"/>
        <w:gridCol w:w="109"/>
        <w:gridCol w:w="109"/>
        <w:gridCol w:w="109"/>
        <w:gridCol w:w="211"/>
        <w:gridCol w:w="631"/>
        <w:gridCol w:w="109"/>
        <w:gridCol w:w="109"/>
        <w:gridCol w:w="109"/>
        <w:gridCol w:w="109"/>
        <w:gridCol w:w="211"/>
        <w:gridCol w:w="754"/>
        <w:gridCol w:w="109"/>
        <w:gridCol w:w="109"/>
        <w:gridCol w:w="109"/>
        <w:gridCol w:w="109"/>
        <w:gridCol w:w="211"/>
        <w:gridCol w:w="754"/>
        <w:gridCol w:w="109"/>
        <w:gridCol w:w="109"/>
        <w:gridCol w:w="109"/>
        <w:gridCol w:w="109"/>
        <w:gridCol w:w="211"/>
        <w:gridCol w:w="736"/>
        <w:gridCol w:w="109"/>
        <w:gridCol w:w="109"/>
        <w:gridCol w:w="109"/>
        <w:gridCol w:w="109"/>
        <w:gridCol w:w="211"/>
        <w:gridCol w:w="754"/>
        <w:gridCol w:w="156"/>
      </w:tblGrid>
      <w:tr>
        <w:trPr/>
        <w:tc>
          <w:tcPr>
            <w:tcW w:w="7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scaling initiatives⁽¹⁾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(11,882)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EBITDA and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(17,336)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scaling initiatives⁽¹⁾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15,224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(12,162)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Cost scaling initiatives represent expenses the Company has incurred as it scales its operations to align with its current contract volume, driven by the previously disclosed transition of programs from the Company's role as prime contractor to small business contractors. These costs are reported within the contract costs and general and administrative line items.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Liquidity and capital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was approximately $0.2 million and $0.1 million as of June 30, 2026 and September 30,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Available borrowings under our revolving credit facility were approximately $5.0 million and $23.6 million for the periods ended June 30, 2026 and September 30, 2025, respectively. The decrease is primarily due to a lower outstanding receivables balance at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change in cash is presented as follows (in thousands):</w:t>
      </w:r>
    </w:p>
    <w:tbl>
      <w:tblPr>
        <w:tblW w:w="7697"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109"/>
        <w:gridCol w:w="109"/>
        <w:gridCol w:w="211"/>
        <w:gridCol w:w="616"/>
        <w:gridCol w:w="109"/>
        <w:gridCol w:w="109"/>
        <w:gridCol w:w="109"/>
        <w:gridCol w:w="109"/>
        <w:gridCol w:w="211"/>
        <w:gridCol w:w="72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totaled approximately $3.2 million and $12.5 million for the nine months ended June 30, 2026 and 2025, respectively. The decrease in cash provided by operating activities is primarily due to a decrease in revenue volume as compared to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$39.0 thousand and $213.1 thousand for the nine months ended June 30, 2026 and 2025, respectively. The cash utilized was predominantly due to capital expenditures in the nine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during the nine months ended June 30, 2026 and 2025 were approximately $3.1 million and $12.5 million, respectively. The cash used in financing activities was primarily due to prepayment of 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Sources of cash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June 30, 2026, our immediate sources of liquidity include cash, accounts receivable, and access to our secured revolving line of credit facility. This credit facility provides us with access of up to $50.0 million, subject to certain conditions including eligible accounts receivable. As of June 30, 2026, we had unused borrowing capacity of</w:t>
      </w:r>
      <w:r>
        <w:rPr>
          <w:color w:val="000000"/>
          <w:shd w:fill="FFFFFF" w:val="clear"/>
        </w:rPr>
        <w:t xml:space="preserve"> </w:t>
      </w:r>
      <w:r>
        <w:rPr>
          <w:rFonts w:ascii="Times New Roman;serif" w:hAnsi="Times New Roman;serif"/>
          <w:b w:val="false"/>
          <w:color w:val="000000"/>
          <w:sz w:val="20"/>
        </w:rPr>
        <w:t>$5.0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which is net of outstanding letters of credit. The Company's present operating liabilities are largely predictable and consist of vendor and payroll related obligations. We believe that our current investment and financing obligations are adequately covered by cash generated from operations and that planned operating cash flow should be sufficient to support our operations for twelve months from the date of issuance of these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credit facilities for the period ended June 30, 2026 is as follows (in millions): </w:t>
      </w:r>
    </w:p>
    <w:tbl>
      <w:tblPr>
        <w:tblW w:w="10161" w:type="dxa"/>
        <w:jc w:val="left"/>
        <w:tblInd w:w="0" w:type="dxa"/>
        <w:tblLayout w:type="fixed"/>
        <w:tblCellMar>
          <w:top w:w="28" w:type="dxa"/>
          <w:left w:w="28" w:type="dxa"/>
          <w:bottom w:w="28" w:type="dxa"/>
          <w:right w:w="28" w:type="dxa"/>
        </w:tblCellMar>
      </w:tblPr>
      <w:tblGrid>
        <w:gridCol w:w="1745"/>
        <w:gridCol w:w="1531"/>
        <w:gridCol w:w="1539"/>
        <w:gridCol w:w="109"/>
        <w:gridCol w:w="109"/>
        <w:gridCol w:w="109"/>
        <w:gridCol w:w="291"/>
        <w:gridCol w:w="849"/>
        <w:gridCol w:w="150"/>
        <w:gridCol w:w="109"/>
        <w:gridCol w:w="109"/>
        <w:gridCol w:w="109"/>
        <w:gridCol w:w="484"/>
        <w:gridCol w:w="484"/>
        <w:gridCol w:w="487"/>
        <w:gridCol w:w="109"/>
        <w:gridCol w:w="109"/>
        <w:gridCol w:w="109"/>
        <w:gridCol w:w="474"/>
        <w:gridCol w:w="474"/>
        <w:gridCol w:w="672"/>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Loan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Maturity Date</w:t>
            </w:r>
          </w:p>
        </w:tc>
      </w:tr>
      <w:tr>
        <w:trPr/>
        <w:tc>
          <w:tcPr>
            <w:tcW w:w="48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term loan (a) due December 8,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SOFR</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8, 2027</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revolving line of credit (b) due December 8,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SOFR</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8, 2027</w:t>
            </w:r>
          </w:p>
        </w:tc>
      </w:tr>
    </w:tbl>
    <w:p>
      <w:pPr>
        <w:pStyle w:val="TextBody"/>
        <w:bidi w:val="0"/>
        <w:spacing w:lineRule="auto" w:line="288" w:before="0" w:after="240"/>
        <w:jc w:val="both"/>
        <w:rPr/>
      </w:pPr>
      <w:r>
        <w:rPr>
          <w:rFonts w:ascii="Times New Roman;serif" w:hAnsi="Times New Roman;serif"/>
          <w:b w:val="false"/>
          <w:color w:val="000000"/>
          <w:sz w:val="13"/>
        </w:rPr>
        <w:t>1</w:t>
      </w:r>
      <w:r>
        <w:rPr>
          <w:rFonts w:ascii="Times New Roman;serif" w:hAnsi="Times New Roman;serif"/>
          <w:b w:val="false"/>
          <w:color w:val="000000"/>
          <w:sz w:val="20"/>
        </w:rPr>
        <w:t>Secured Overnight Financing Rate ("SOFR") as of June 30, 2026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3.7%.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31, 2023, we executed a floating-to-fixed interest rate swap with FNB which had a notional amount of $74.0 million, and a fixed interest rate of 4.10%. The swap matured on January 31, 2026. As of June 30, 2026, no interest rate swaps were outstanding and all debt is subject to floating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the principal amounts payable on our term loan, which is secured by liens on substantially all of the assets of the Company. The principal of the term loan is payable in quarterly installments with the remaining balance due on December 8,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(b) As amended, the secured revolving line of credit has a ceiling of up to $50.0 million and a maturity date of December 8, 2027. The Company has accessed funds from the revolving credit facility during the quarter and has a balance outstanding at June 30, 2026 of </w:t>
      </w:r>
      <w:r>
        <w:rPr>
          <w:rFonts w:ascii="Times New Roman;serif" w:hAnsi="Times New Roman;serif"/>
          <w:b w:val="false"/>
          <w:color w:val="000000"/>
          <w:sz w:val="20"/>
        </w:rPr>
        <w:t>$13.7 million.</w:t>
      </w:r>
    </w:p>
    <w:p>
      <w:pPr>
        <w:pStyle w:val="TextBody"/>
        <w:bidi w:val="0"/>
        <w:spacing w:lineRule="auto" w:line="288" w:before="0" w:after="0"/>
        <w:jc w:val="both"/>
        <w:rPr/>
      </w:pPr>
      <w:r>
        <w:rPr>
          <w:rFonts w:ascii="Times New Roman;serif" w:hAnsi="Times New Roman;serif"/>
          <w:b w:val="false"/>
          <w:color w:val="000000"/>
          <w:sz w:val="20"/>
        </w:rPr>
        <w:t xml:space="preserve">The secured term loan and secured revolving line of credit are secured by liens on substantially all of the assets of the Company. The provisions of our credit facilities are fully described in </w:t>
      </w:r>
      <w:hyperlink w:anchor="i7fd49d02cba14bc1917e7276ec8ef181_49">
        <w:r>
          <w:rPr>
            <w:rStyle w:val="InternetLink"/>
            <w:rFonts w:ascii="Times New Roman;serif" w:hAnsi="Times New Roman;serif"/>
            <w:b w:val="false"/>
            <w:color w:val="0000FF"/>
            <w:sz w:val="20"/>
            <w:u w:val="single"/>
          </w:rPr>
          <w:t>Note 7. Credit Facilities</w:t>
        </w:r>
      </w:hyperlink>
      <w:r>
        <w:rPr>
          <w:color w:val="000000"/>
        </w:rPr>
        <w:t xml:space="preserve"> </w:t>
      </w:r>
      <w:r>
        <w:rPr>
          <w:rFonts w:ascii="Times New Roman;serif" w:hAnsi="Times New Roman;serif"/>
          <w:b w:val="false"/>
          <w:color w:val="000000"/>
          <w:sz w:val="20"/>
        </w:rPr>
        <w:t xml:space="preserve">to the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Contractual Obligations</w:t>
      </w:r>
    </w:p>
    <w:p>
      <w:pPr>
        <w:pStyle w:val="TextBody"/>
        <w:bidi w:val="0"/>
        <w:spacing w:lineRule="auto" w:line="288" w:before="0" w:after="3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Contractual obligations as of June 30, 2026 are as follows (in thousands):</w:t>
      </w:r>
    </w:p>
    <w:tbl>
      <w:tblPr>
        <w:tblW w:w="9415" w:type="dxa"/>
        <w:jc w:val="left"/>
        <w:tblInd w:w="0" w:type="dxa"/>
        <w:tblLayout w:type="fixed"/>
        <w:tblCellMar>
          <w:top w:w="28" w:type="dxa"/>
          <w:left w:w="28" w:type="dxa"/>
          <w:bottom w:w="28" w:type="dxa"/>
          <w:right w:w="28" w:type="dxa"/>
        </w:tblCellMar>
      </w:tblPr>
      <w:tblGrid>
        <w:gridCol w:w="940"/>
        <w:gridCol w:w="824"/>
        <w:gridCol w:w="830"/>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631"/>
        <w:gridCol w:w="109"/>
        <w:gridCol w:w="109"/>
        <w:gridCol w:w="109"/>
        <w:gridCol w:w="109"/>
        <w:gridCol w:w="295"/>
        <w:gridCol w:w="674"/>
        <w:gridCol w:w="215"/>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operating leases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contractual obligations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146,339</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26,857</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112,680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w:t>
            </w:r>
            <w:r>
              <w:rPr>
                <w:color w:val="000000"/>
              </w:rPr>
              <w:t> </w:t>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critical accounting policies and estimates are disclosed in the Critical Accounting Policies and Estimates section in Part II, “Item 7. Management's Discussion of our Annual Report on Form 10-K for the year ended September 30, 2025. There have been no significant changes to the Company’s critical accounting policies as disclosed in our Annual Report on Form 10-K for the year ended September 30, 2025. For a detailed discussion on the application of accounting policies, refer to </w:t>
      </w:r>
      <w:hyperlink w:anchor="i7fd49d02cba14bc1917e7276ec8ef181_34">
        <w:r>
          <w:rPr>
            <w:rStyle w:val="InternetLink"/>
            <w:rFonts w:ascii="Times New Roman;serif" w:hAnsi="Times New Roman;serif"/>
            <w:b w:val="false"/>
            <w:color w:val="0000FF"/>
            <w:sz w:val="20"/>
            <w:u w:val="single"/>
          </w:rPr>
          <w:t>Note 2. Significant Accounting Policies.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Goodwill Impairment Testing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qualitative assessment of goodwill at June 30, 2026 determined a triggering event occurred requiring that we conduct additional quantitative analyses. The triggering event was primarily due to the decrease in the Company's share price resulting in a decline in market capitalization. Management's assessment was that the market capitalization at the end of the third quarter was not indicative of the Company's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performed a quantitative assessment to determine its fair value. The quantitative assessment blended multiple methods so as to have a reasonable and complete assessment of fair value. The methods used included both market and income-based approaches with all methods utilizing publicly available information in their respective calculations. Management assessed the relevance and reliability of the information utilized in each method. Significant estimates in the market-based method included identifying similar companies with comparable business factors such as service offerings, customers, size, growth, profitability, risk and return on investment, as well as assessing comparable market multiples and control premiums in estimating the fair value of the Company. The income-based method is a discounted cash flow analysis and the significant estimates included expected growth rates, profitability and the weighted average cost of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market-based methods, the Company used the market capitalization over the current quarter with the inclusion of a control premium as one estimation of fair value. The other market-based method used publicly available market multiples of relevant publicly traded companies applied to our expected EBITDA and revenue for fiscal 2026 to estimate the Company's fair value. For the income-based method, the Company calculated its expected future cash flows. Those cash flows were then discounted to present value using a weighted average cost of capital. The weighted average of the three assessments indicated that the Company's fair value was greater than its book equity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quantitative assessments, the Company determined that its goodwill was not impaired at the end of the quarter. Management will continue to evaluate market conditions and perform qualitative interim assessments to determine if a triggering event has occurred. Should a triggering event occur, the Company will perform a quantitative assessment to estimate fair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9" w:name="i1fc17f882c7141c686adc235c3f10d16"/>
      <w:bookmarkEnd w:id="9"/>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elsewhere in this report, the Company has not engaged in trading practices in securities or other financial instruments and therefore does not have any material exposure to interest rate risk, foreign currency exchange rate risk, commodity price risk or other similar risks, which might otherwise result from such practices. The Company has limited foreign operations and therefore is not materially subject to fluctuations in foreign exchange rates, commodity prices or other market rates or prices from market sensitive instruments. The Company had a floating-to-fixed interest rate swap with a notional amount of $74.0 million, which matured on January 31, 2026. As of June 30, 2026, no interest rate swaps were outstanding and all debt is subject to floating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determined that a 1.0% increase to SOFR would impact our interest expense by approximately $1.3 million per year. As of June 30, 2026, the interest rate on the floating interest rate debt was 7.8%.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10" w:name="i416d1de45a3b4bcd9870bcda8ba3e463"/>
      <w:bookmarkEnd w:id="10"/>
      <w:r>
        <w:rPr>
          <w:rFonts w:ascii="Times New Roman;serif" w:hAnsi="Times New Roman;serif"/>
          <w:b/>
          <w:color w:val="000000"/>
          <w:sz w:val="20"/>
        </w:rPr>
        <w:t>ITEM 4: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CEO and President and Chief Financial Officer evaluated the effectiveness of our disclosure controls and procedures (as defined in Rule 13a-15(e) or 15d-15(e) under the Securities Exchange Act of 1934) as of the end of the period covered by this report. Based on the evaluation of these controls and procedures, our disclosure controls and procedures were effective at the reasonable assurance level to ensure that information required to be disclosed by us in the reports that we file or submit under the Securities Exchange Act of 1934 (i) is recorded, processed, summarized and reported, within the time periods specified in the SEC’s rules and forms and (ii) that such information is accumulated and communicated to our management, including our CEO and President and Chief Financial Officer, to allow timely decisions regarding required disclosure.</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President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Our management, however, believes our disclosure controls and procedures are in fact effective to provide reasonable assurance that the objectives of the control system are met.</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Securities Exchange Act of 1934) identified in connection with the evaluation of our internal controls that occurred during the fiscal quarter ended June 30, 2026,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1" w:name="i87ffc359b73d4cd5aea5259c414b02df"/>
      <w:bookmarkEnd w:id="11"/>
      <w:r>
        <w:rPr>
          <w:rFonts w:ascii="Times New Roman;serif" w:hAnsi="Times New Roman;serif"/>
          <w:b/>
          <w:color w:val="000000"/>
          <w:sz w:val="20"/>
        </w:rPr>
        <w:t>PART II OTHER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2" w:name="ied87a24fd70f49e79d27b2ef98b7eba4"/>
      <w:bookmarkEnd w:id="12"/>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commercial enterprise and employer, the Company is subject to various claims and legal actions in the ordinary course of business. These matters can include professional liability, workers’ compensation, tax, payroll and employee-related matters, other commercial disputes arising in the course of its business, and inquiries and investigations by governmental agencies regarding our employment practices or other matters. The Company is not aware of any pending or threatened litigation that it believes is reasonably likely to have a material adverse effect on its results of operations, financial position or cash flows.</w:t>
      </w:r>
    </w:p>
    <w:p>
      <w:pPr>
        <w:pStyle w:val="TextBody"/>
        <w:bidi w:val="0"/>
        <w:spacing w:lineRule="auto" w:line="288" w:before="0" w:after="0"/>
        <w:ind w:left="0" w:right="0" w:firstLine="405"/>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 w:name="i0c3624f044c9472cb4310248adc56341"/>
      <w:bookmarkEnd w:id="13"/>
      <w:r>
        <w:rPr>
          <w:rFonts w:ascii="Times New Roman;serif" w:hAnsi="Times New Roman;serif"/>
          <w:b/>
          <w:color w:val="000000"/>
          <w:sz w:val="20"/>
        </w:rPr>
        <w:t>ITEM 1A: RISK FACTORS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Our operating results and financial condition have varied in the past and may in the future vary significantly depending on a number of factors. In addition to the other information set forth in this report, you should carefully consider the factors discussed in the “Risk Factors” section in our Annual Report on Form 10-K for the year ended September 30, 2025 and in our other reports filed with the SEC concerning the risks associated with our business, financial condition and results of operations. These factors, among others, could materially and adversely affect our business, results of operations, financial condition or liquidity and cause our actual results to differ materially from those contained in statements made in this report and presented elsewhere by management from time to time. The risks we have identified in our reports are not the only risks facing us. Additional risks and uncertainties not currently known to us or that we currently believe are immaterial may also materially adversely affect our business, results of operations, financial condition or liquidity. </w:t>
      </w:r>
      <w:r>
        <w:rPr>
          <w:rFonts w:ascii="Times New Roman;serif" w:hAnsi="Times New Roman;serif"/>
          <w:b w:val="false"/>
          <w:color w:val="212529"/>
          <w:sz w:val="20"/>
        </w:rPr>
        <w:t xml:space="preserve">See Item 1A, Risk Factors, in our Annual Report on Form 10-K for the fiscal year ended </w:t>
      </w:r>
      <w:r>
        <w:rPr>
          <w:rFonts w:ascii="Times New Roman;serif" w:hAnsi="Times New Roman;serif"/>
          <w:b w:val="false"/>
          <w:color w:val="000000"/>
          <w:sz w:val="20"/>
        </w:rPr>
        <w:t>September 30, 2025</w:t>
      </w:r>
      <w:r>
        <w:rPr>
          <w:rFonts w:ascii="Times New Roman;serif" w:hAnsi="Times New Roman;serif"/>
          <w:b w:val="false"/>
          <w:color w:val="212529"/>
          <w:sz w:val="20"/>
        </w:rPr>
        <w:t xml:space="preserve">. We believe that there have been no material changes from the risk factors described in our Annual Report on Form 10-K for the fiscal year ended </w:t>
      </w:r>
      <w:r>
        <w:rPr>
          <w:rFonts w:ascii="Times New Roman;serif" w:hAnsi="Times New Roman;serif"/>
          <w:b w:val="false"/>
          <w:color w:val="000000"/>
          <w:sz w:val="20"/>
        </w:rPr>
        <w:t>September 30, 2025.</w:t>
      </w:r>
    </w:p>
    <w:p>
      <w:pPr>
        <w:pStyle w:val="TextBody"/>
        <w:bidi w:val="0"/>
        <w:spacing w:before="0" w:after="0"/>
        <w:jc w:val="both"/>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4" w:name="idb0be9ca945e4ca3b6e99c4f657902f8"/>
      <w:bookmarkEnd w:id="14"/>
      <w:r>
        <w:rPr>
          <w:rFonts w:ascii="Times New Roman;serif" w:hAnsi="Times New Roman;serif"/>
          <w:b/>
          <w:color w:val="000000"/>
          <w:sz w:val="20"/>
        </w:rPr>
        <w:t>ITEM 2: UNREGISTERED SALES OF EQUITY SECURITIES AND USE OF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the Company did not issue any securities that were not registered under the Securities Act of 1933, as amended, except as has been reported in previous filings with the SEC or as set forth elsewhere herein.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5" w:name="i8d4dbf6beea444e48391e9c4d985f88e"/>
      <w:bookmarkEnd w:id="15"/>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6" w:name="ia4a12808ced94dacb7cd0f515538af6c"/>
      <w:bookmarkEnd w:id="16"/>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7" w:name="iba62f290357c4e11a02f512a7d562a9f"/>
      <w:bookmarkEnd w:id="17"/>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no director or officer of the Company adopted or terminated a "rule 10b5-1 trading arrangement" or "non-rule 10b5-1 trading arrangement," as each term is defined in Item 408 (a)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18" w:name="ia9813a7ba530426f86c18fca599501c1"/>
      <w:bookmarkEnd w:id="18"/>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p>
      <w:pPr>
        <w:pStyle w:val="TextBody"/>
        <w:bidi w:val="0"/>
        <w:spacing w:lineRule="auto" w:line="244" w:before="0" w:after="0"/>
        <w:jc w:val="both"/>
        <w:rPr>
          <w:rFonts w:ascii="Times New Roman;serif" w:hAnsi="Times New Roman;serif"/>
          <w:b w:val="false"/>
          <w:color w:val="000000"/>
          <w:sz w:val="20"/>
        </w:rPr>
      </w:pPr>
      <w:r>
        <w:rPr>
          <w:rFonts w:ascii="Times New Roman;serif" w:hAnsi="Times New Roman;serif"/>
          <w:b w:val="false"/>
          <w:color w:val="000000"/>
          <w:sz w:val="20"/>
        </w:rPr>
        <w:t>Exhibits to this report which have previously been filed with the Commission are incorporated by reference to the document referenced in the following table. The exhibits designated with a number sign (#) indicate a management contract or compensation plan or arrangement.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29"/>
        <w:gridCol w:w="229"/>
        <w:gridCol w:w="233"/>
        <w:gridCol w:w="109"/>
        <w:gridCol w:w="109"/>
        <w:gridCol w:w="109"/>
        <w:gridCol w:w="1593"/>
        <w:gridCol w:w="1593"/>
        <w:gridCol w:w="1596"/>
        <w:gridCol w:w="109"/>
        <w:gridCol w:w="109"/>
        <w:gridCol w:w="109"/>
        <w:gridCol w:w="170"/>
        <w:gridCol w:w="170"/>
        <w:gridCol w:w="171"/>
        <w:gridCol w:w="137"/>
        <w:gridCol w:w="137"/>
        <w:gridCol w:w="137"/>
        <w:gridCol w:w="205"/>
        <w:gridCol w:w="205"/>
        <w:gridCol w:w="206"/>
        <w:gridCol w:w="137"/>
        <w:gridCol w:w="137"/>
        <w:gridCol w:w="137"/>
        <w:gridCol w:w="209"/>
        <w:gridCol w:w="209"/>
        <w:gridCol w:w="213"/>
        <w:gridCol w:w="109"/>
        <w:gridCol w:w="109"/>
        <w:gridCol w:w="109"/>
        <w:gridCol w:w="240"/>
        <w:gridCol w:w="240"/>
        <w:gridCol w:w="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Dated</w:t>
            </w:r>
          </w:p>
        </w:tc>
        <w:tc>
          <w:tcPr>
            <w:tcW w:w="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Second Amendment dated June 11, 2026 to the Second Amended &amp; Restated Credit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Employment Agreement dated June 30, 2026, between the Company and Kathryn M. JohnBull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Employment Letter dated June 30, 2026, between the Company and Steven Oroho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Change-in-Control, Severance and Covenant Agreement, dated June 30, 2026, between the Company and Steven Oroho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1fy26q3.htm">
              <w:r>
                <w:rPr>
                  <w:rStyle w:val="InternetLink"/>
                  <w:rFonts w:ascii="Times New Roman;serif" w:hAnsi="Times New Roman;serif"/>
                  <w:b w:val="false"/>
                  <w:color w:val="0000FF"/>
                  <w:sz w:val="18"/>
                  <w:u w:val="single"/>
                </w:rPr>
                <w:t>Certification of Chief Executive Officer pursuant to Section 17 CFR 240.13a-14(a) or 17 CFR 240.15d-14(a)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2fy26q3.htm">
              <w:r>
                <w:rPr>
                  <w:rStyle w:val="InternetLink"/>
                  <w:rFonts w:ascii="Times New Roman;serif" w:hAnsi="Times New Roman;serif"/>
                  <w:b w:val="false"/>
                  <w:color w:val="0000FF"/>
                  <w:sz w:val="18"/>
                  <w:u w:val="single"/>
                </w:rPr>
                <w:t>Certification of Chief Financial Officer pursuant to Section 17 CFR 240.13a-14(a) or 17 CFR 240.15d-14(a)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2fy26q3.htm">
              <w:r>
                <w:rPr>
                  <w:rStyle w:val="InternetLink"/>
                  <w:rFonts w:ascii="Times New Roman;serif" w:hAnsi="Times New Roman;serif"/>
                  <w:b w:val="false"/>
                  <w:color w:val="0000FF"/>
                  <w:sz w:val="18"/>
                  <w:u w:val="single"/>
                </w:rPr>
                <w:t>Certification of Chief Executive Officer and Chief Financial Officer pursuant to 17 CFR 240.13a-14(b) or 17 CFR 240.15d-14(b) and Section 1350 of Chapter 63 of Title 18 of the United States Code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information from the DLH Holdings Corp. Quarterly Report on Form 10-Q for the fiscal quarter ended June 30, 2026, formatted in iXBRL (Inline eXtensible Business Reporting Language) and filed electronically herewith: (i) the Consolidated Balance Sheets; (ii) the Consolidated Statements of Operations; (iii) the Consolidated Statements of Cash Flows; and, (iv) the Notes to the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Schedules omitted pursuant to Item 601(a)(5) of Regulation S-K. The Company agrees to furnish a copy of any omitted schedule to the Securities and Exchange Commission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19" w:name="ia091c1d2b9f5474aa41d90fd99c0cb1b"/>
      <w:bookmarkEnd w:id="19"/>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904"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353"/>
        <w:gridCol w:w="353"/>
        <w:gridCol w:w="353"/>
        <w:gridCol w:w="1073"/>
        <w:gridCol w:w="1073"/>
        <w:gridCol w:w="155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DLH HOLDINGS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V. Oroho, Jr.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V. Oroho, Jr.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behalf of the Registrant and as </w:t>
              <w:br/>
              <w:t>Principal Financial and Accounting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Kathryn M. JohnBull.,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DLH Holdings Corp.;</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before="0" w:after="0"/>
        <w:jc w:val="left"/>
        <w:rPr/>
      </w:pPr>
      <w:r>
        <w:rPr/>
      </w:r>
    </w:p>
    <w:tbl>
      <w:tblPr>
        <w:tblW w:w="4124" w:type="dxa"/>
        <w:jc w:val="left"/>
        <w:tblInd w:w="0" w:type="dxa"/>
        <w:tblLayout w:type="fixed"/>
        <w:tblCellMar>
          <w:top w:w="28" w:type="dxa"/>
          <w:left w:w="28" w:type="dxa"/>
          <w:bottom w:w="28" w:type="dxa"/>
          <w:right w:w="28" w:type="dxa"/>
        </w:tblCellMar>
      </w:tblPr>
      <w:tblGrid>
        <w:gridCol w:w="884"/>
        <w:gridCol w:w="777"/>
        <w:gridCol w:w="783"/>
        <w:gridCol w:w="109"/>
        <w:gridCol w:w="109"/>
        <w:gridCol w:w="109"/>
        <w:gridCol w:w="109"/>
        <w:gridCol w:w="109"/>
        <w:gridCol w:w="109"/>
        <w:gridCol w:w="109"/>
        <w:gridCol w:w="109"/>
        <w:gridCol w:w="109"/>
        <w:gridCol w:w="109"/>
        <w:gridCol w:w="109"/>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0"/>
              </w:rPr>
              <w:t xml:space="preserve">/s/ </w:t>
            </w:r>
            <w:r>
              <w:rPr>
                <w:rFonts w:ascii="Times New Roman;serif" w:hAnsi="Times New Roman;serif"/>
                <w:b w:val="false"/>
                <w:color w:val="000000"/>
                <w:sz w:val="20"/>
              </w:rPr>
              <w:t>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V. Oroho, Jr., certify that: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DLH Holdings Corp.;</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before="0" w:after="0"/>
        <w:jc w:val="left"/>
        <w:rPr/>
      </w:pPr>
      <w:r>
        <w:rPr/>
      </w:r>
    </w:p>
    <w:tbl>
      <w:tblPr>
        <w:tblW w:w="4259" w:type="dxa"/>
        <w:jc w:val="left"/>
        <w:tblInd w:w="0" w:type="dxa"/>
        <w:tblLayout w:type="fixed"/>
        <w:tblCellMar>
          <w:top w:w="28" w:type="dxa"/>
          <w:left w:w="28" w:type="dxa"/>
          <w:bottom w:w="28" w:type="dxa"/>
          <w:right w:w="28" w:type="dxa"/>
        </w:tblCellMar>
      </w:tblPr>
      <w:tblGrid>
        <w:gridCol w:w="935"/>
        <w:gridCol w:w="820"/>
        <w:gridCol w:w="824"/>
        <w:gridCol w:w="109"/>
        <w:gridCol w:w="109"/>
        <w:gridCol w:w="109"/>
        <w:gridCol w:w="109"/>
        <w:gridCol w:w="109"/>
        <w:gridCol w:w="109"/>
        <w:gridCol w:w="109"/>
        <w:gridCol w:w="109"/>
        <w:gridCol w:w="109"/>
        <w:gridCol w:w="109"/>
        <w:gridCol w:w="109"/>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/s/ </w:t>
            </w:r>
            <w:r>
              <w:rPr>
                <w:rFonts w:ascii="Times New Roman;serif" w:hAnsi="Times New Roman;serif"/>
                <w:b w:val="false"/>
                <w:color w:val="000000"/>
                <w:sz w:val="20"/>
              </w:rPr>
              <w:t>Steven V. Oroho,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Steven V. Oroho,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DLH Holdings Corp. (the “Company”) on Form 10-Q for the period ended June 30, 2026 as filed with the Securities and Exchange Commission on the date hereof (the “Report”), the undersigned, being, Kathryn M. JohnBull, Chief Executive Officer, and Steven V. Oroho, Jr., Chief Financial Officer and Principal Accounting Officer, certify, pursuant to 18 U.S.C. ss.1350, as adopted pursuant to Section 906 of the Sarbanes-Oxley Act of 2002, that:</w:t>
      </w:r>
    </w:p>
    <w:p>
      <w:pPr>
        <w:pStyle w:val="TextBody"/>
        <w:bidi w:val="0"/>
        <w:spacing w:before="0" w:after="0"/>
        <w:jc w:val="both"/>
        <w:rPr/>
      </w:pPr>
      <w:r>
        <w:rPr/>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p>
      <w:pPr>
        <w:pStyle w:val="TextBody"/>
        <w:bidi w:val="0"/>
        <w:spacing w:before="0" w:after="0"/>
        <w:jc w:val="left"/>
        <w:rPr/>
      </w:pPr>
      <w:r>
        <w:rPr/>
      </w:r>
    </w:p>
    <w:tbl>
      <w:tblPr>
        <w:tblW w:w="5708" w:type="dxa"/>
        <w:jc w:val="left"/>
        <w:tblInd w:w="0" w:type="dxa"/>
        <w:tblLayout w:type="fixed"/>
        <w:tblCellMar>
          <w:top w:w="28" w:type="dxa"/>
          <w:left w:w="28" w:type="dxa"/>
          <w:bottom w:w="28" w:type="dxa"/>
          <w:right w:w="28" w:type="dxa"/>
        </w:tblCellMar>
      </w:tblPr>
      <w:tblGrid>
        <w:gridCol w:w="884"/>
        <w:gridCol w:w="777"/>
        <w:gridCol w:w="783"/>
        <w:gridCol w:w="109"/>
        <w:gridCol w:w="109"/>
        <w:gridCol w:w="109"/>
        <w:gridCol w:w="109"/>
        <w:gridCol w:w="109"/>
        <w:gridCol w:w="109"/>
        <w:gridCol w:w="761"/>
        <w:gridCol w:w="761"/>
        <w:gridCol w:w="1088"/>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V. Oroho, Jr.</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Steven V. Oroho, Jr.</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5557/000162828026043937/form-secondamendmenttocred.htm" TargetMode="External"/><Relationship Id="rId3" Type="http://schemas.openxmlformats.org/officeDocument/2006/relationships/hyperlink" Target="https://www.sec.gov/Archives/edgar/data/785557/000162828026047263/exh101.htm" TargetMode="External"/><Relationship Id="rId4" Type="http://schemas.openxmlformats.org/officeDocument/2006/relationships/hyperlink" Target="https://www.sec.gov/Archives/edgar/data/785557/000162828026047263/exh102.htm" TargetMode="External"/><Relationship Id="rId5" Type="http://schemas.openxmlformats.org/officeDocument/2006/relationships/hyperlink" Target="https://www.sec.gov/Archives/edgar/data/785557/000162828026047263/exh10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16969</Words>
  <Characters>95381</Characters>
  <CharactersWithSpaces>111057</CharactersWithSpaces>
  <Paragraphs>2339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