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8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8590"/>
                    </a:xfrm>
                    <a:prstGeom prst="rect">
                      <a:avLst/>
                    </a:prstGeom>
                    <a:noFill/>
                  </pic:spPr>
                </pic:pic>
              </a:graphicData>
            </a:graphic>
          </wp:anchor>
        </w:drawing>
      </w:r>
    </w:p>
    <w:p>
      <w:pPr>
        <w:spacing w:after="0" w:line="1222" w:lineRule="exact"/>
        <w:rPr>
          <w:sz w:val="24"/>
          <w:szCs w:val="24"/>
          <w:color w:val="auto"/>
        </w:rPr>
      </w:pPr>
    </w:p>
    <w:p>
      <w:pPr>
        <w:sectPr>
          <w:pgSz w:w="11900" w:h="16892"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Mink Brook Asset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DLH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gridSpan w:val="2"/>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201 SUMMA STREET</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2"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33405</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92"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05/18/2026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5,304</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2,057,754</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9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05/19/2026</w:t>
            </w:r>
          </w:p>
        </w:tc>
        <w:tc>
          <w:tcPr>
            <w:tcW w:w="740" w:type="dxa"/>
            <w:vAlign w:val="bottom"/>
          </w:tcPr>
          <w:p>
            <w:pPr>
              <w:spacing w:after="0"/>
              <w:rPr>
                <w:sz w:val="18"/>
                <w:szCs w:val="18"/>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2,397</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w:t>
            </w:r>
            <w:r>
              <w:rPr>
                <w:rFonts w:ascii="Times New Roman" w:cs="Times New Roman" w:eastAsia="Times New Roman" w:hAnsi="Times New Roman"/>
                <w:sz w:val="22"/>
                <w:szCs w:val="22"/>
                <w:color w:val="008000"/>
                <w:w w:val="96"/>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0000FF"/>
              </w:rPr>
              <w:t>2,060,151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90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0000FF"/>
              </w:rPr>
              <w:t>694,322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restart"/>
          </w:tcPr>
          <w:p>
            <w:pPr>
              <w:ind w:left="460"/>
              <w:spacing w:after="0" w:line="210" w:lineRule="exact"/>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320" w:type="dxa"/>
            <w:vAlign w:val="bottom"/>
            <w:tcBorders>
              <w:bottom w:val="single" w:sz="8" w:color="2C2C2C"/>
            </w:tcBorders>
            <w:gridSpan w:val="8"/>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8"/>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Partners LP (the "Fund"). As the investment manager of the Fund, Mink Brook Asset Management LLC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Opportunity Fund LP (the "Fund"). As the investment manager of the Fund, Mink Brook Asset Management LLC may be deemed to beneficially own the securities owned directly by the Fund.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Mueller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05/19/2026</w:t>
            </w: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92"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205" TargetMode="External"/><Relationship Id="rId14" Type="http://schemas.openxmlformats.org/officeDocument/2006/relationships/hyperlink" Target="http://www.sec.gov/cgi-bin/browse-edgar?action=getcompany&amp;CIK=0000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2026-05-19T15:29:33Z</dcterms:created>
  <dcterms:modified xsi:type="dcterms:W3CDTF">2026-05-19T15:29:33Z</dcterms:modified>
</cp:coreProperties>
</file>