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36606.xml.htm"/>
      <w:bookmarkStart w:id="1" w:name="kswkform4a_17855366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07/24/2026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0"/>
        <w:gridCol w:w="899"/>
        <w:gridCol w:w="771"/>
        <w:gridCol w:w="597"/>
        <w:gridCol w:w="340"/>
        <w:gridCol w:w="772"/>
        <w:gridCol w:w="432"/>
        <w:gridCol w:w="877"/>
        <w:gridCol w:w="1293"/>
        <w:gridCol w:w="968"/>
        <w:gridCol w:w="9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5.0975</w:t>
            </w:r>
            <w:r>
              <w:rPr>
                <w:rFonts w:ascii="Times;serif" w:hAnsi="Times;serif"/>
                <w:color w:val="008000"/>
                <w:position w:val="7"/>
                <w:sz w:val="16"/>
                <w:sz w:val="20"/>
                <w:shd w:fill="FFFFFF" w:val="clear"/>
              </w:rPr>
              <w:t>(1)</w:t>
            </w:r>
          </w:p>
        </w:tc>
        <w:tc>
          <w:tcPr>
            <w:tcW w:w="12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2,158,379</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r>
        <w:trPr/>
        <w:tc>
          <w:tcPr>
            <w:tcW w:w="22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5.0997</w:t>
            </w:r>
            <w:r>
              <w:rPr>
                <w:rFonts w:ascii="Times;serif" w:hAnsi="Times;serif"/>
                <w:color w:val="008000"/>
                <w:position w:val="7"/>
                <w:sz w:val="16"/>
                <w:sz w:val="20"/>
                <w:shd w:fill="FFFFFF" w:val="clear"/>
              </w:rPr>
              <w:t>(5)</w:t>
            </w:r>
          </w:p>
        </w:tc>
        <w:tc>
          <w:tcPr>
            <w:tcW w:w="12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2,158,770</w:t>
            </w:r>
            <w:r>
              <w:rPr>
                <w:rFonts w:ascii="Times;serif" w:hAnsi="Times;serif"/>
                <w:color w:val="008000"/>
                <w:position w:val="7"/>
                <w:sz w:val="16"/>
                <w:sz w:val="20"/>
                <w:shd w:fill="FFFFFF" w:val="clear"/>
              </w:rPr>
              <w:t>(2)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$5.08 to $5.10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number of shares owned following this transaction was amended to correct a mathematical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purchased in multiple transactions at prices ranging from $5.09 to $5.10 inclusive. The reporting person undertakes to provide, upon request by the SEC staff, the issuer, or a security holder of the issuer, full information regarding the number of shares bought at each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4583</Characters>
  <CharactersWithSpaces>5365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