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4, 2026</w:t>
      </w:r>
    </w:p>
    <w:p>
      <w:pPr>
        <w:spacing w:after="0" w:line="16" w:lineRule="exact"/>
        <w:rPr>
          <w:sz w:val="24"/>
          <w:szCs w:val="24"/>
          <w:color w:val="auto"/>
        </w:rPr>
      </w:pPr>
    </w:p>
    <w:p>
      <w:pPr>
        <w:ind w:left="10040"/>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694690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6350"/>
                    </a:xfrm>
                    <a:prstGeom prst="rect">
                      <a:avLst/>
                    </a:prstGeom>
                    <a:noFill/>
                  </pic:spPr>
                </pic:pic>
              </a:graphicData>
            </a:graphic>
          </wp:anchor>
        </w:drawing>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2540" w:type="dxa"/>
            <w:vAlign w:val="bottom"/>
          </w:tcPr>
          <w:p>
            <w:pPr>
              <w:spacing w:after="0"/>
              <w:rPr>
                <w:sz w:val="24"/>
                <w:szCs w:val="24"/>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24"/>
                <w:szCs w:val="24"/>
                <w:b w:val="1"/>
                <w:bCs w:val="1"/>
                <w:color w:val="auto"/>
              </w:rPr>
              <w:t>UNITED STATES</w:t>
            </w:r>
          </w:p>
        </w:tc>
      </w:tr>
      <w:tr>
        <w:trPr>
          <w:trHeight w:val="304"/>
        </w:trPr>
        <w:tc>
          <w:tcPr>
            <w:tcW w:w="2540" w:type="dxa"/>
            <w:vAlign w:val="bottom"/>
          </w:tcPr>
          <w:p>
            <w:pPr>
              <w:spacing w:after="0"/>
              <w:rPr>
                <w:sz w:val="24"/>
                <w:szCs w:val="24"/>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r>
      <w:tr>
        <w:trPr>
          <w:trHeight w:val="179"/>
        </w:trPr>
        <w:tc>
          <w:tcPr>
            <w:tcW w:w="2540" w:type="dxa"/>
            <w:vAlign w:val="bottom"/>
          </w:tcPr>
          <w:p>
            <w:pPr>
              <w:spacing w:after="0"/>
              <w:rPr>
                <w:sz w:val="15"/>
                <w:szCs w:val="15"/>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4"/>
                <w:szCs w:val="14"/>
                <w:b w:val="1"/>
                <w:bCs w:val="1"/>
                <w:color w:val="auto"/>
                <w:w w:val="96"/>
              </w:rPr>
              <w:t>Washington, D.C. 20549</w:t>
            </w:r>
          </w:p>
        </w:tc>
      </w:tr>
      <w:tr>
        <w:trPr>
          <w:trHeight w:val="102"/>
        </w:trPr>
        <w:tc>
          <w:tcPr>
            <w:tcW w:w="2540" w:type="dxa"/>
            <w:vAlign w:val="bottom"/>
            <w:tcBorders>
              <w:bottom w:val="single" w:sz="8" w:color="auto"/>
            </w:tcBorders>
          </w:tcPr>
          <w:p>
            <w:pPr>
              <w:spacing w:after="0"/>
              <w:rPr>
                <w:sz w:val="8"/>
                <w:szCs w:val="8"/>
                <w:color w:val="auto"/>
              </w:rPr>
            </w:pPr>
          </w:p>
        </w:tc>
        <w:tc>
          <w:tcPr>
            <w:tcW w:w="8400" w:type="dxa"/>
            <w:vAlign w:val="bottom"/>
            <w:tcBorders>
              <w:bottom w:val="single" w:sz="8" w:color="auto"/>
            </w:tcBorders>
          </w:tcPr>
          <w:p>
            <w:pPr>
              <w:spacing w:after="0"/>
              <w:rPr>
                <w:sz w:val="8"/>
                <w:szCs w:val="8"/>
                <w:color w:val="auto"/>
              </w:rPr>
            </w:pPr>
          </w:p>
        </w:tc>
      </w:tr>
      <w:tr>
        <w:trPr>
          <w:trHeight w:val="351"/>
        </w:trPr>
        <w:tc>
          <w:tcPr>
            <w:tcW w:w="2540" w:type="dxa"/>
            <w:vAlign w:val="bottom"/>
          </w:tcPr>
          <w:p>
            <w:pPr>
              <w:spacing w:after="0"/>
              <w:rPr>
                <w:sz w:val="24"/>
                <w:szCs w:val="24"/>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24"/>
                <w:szCs w:val="24"/>
                <w:b w:val="1"/>
                <w:bCs w:val="1"/>
                <w:color w:val="auto"/>
              </w:rPr>
              <w:t>FORM S-3</w:t>
            </w:r>
          </w:p>
        </w:tc>
      </w:tr>
      <w:tr>
        <w:trPr>
          <w:trHeight w:val="304"/>
        </w:trPr>
        <w:tc>
          <w:tcPr>
            <w:tcW w:w="2540" w:type="dxa"/>
            <w:vAlign w:val="bottom"/>
          </w:tcPr>
          <w:p>
            <w:pPr>
              <w:spacing w:after="0"/>
              <w:rPr>
                <w:sz w:val="24"/>
                <w:szCs w:val="24"/>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24"/>
                <w:szCs w:val="24"/>
                <w:b w:val="1"/>
                <w:bCs w:val="1"/>
                <w:color w:val="auto"/>
              </w:rPr>
              <w:t>REGISTRATION STATEMENT</w:t>
            </w:r>
          </w:p>
        </w:tc>
      </w:tr>
      <w:tr>
        <w:trPr>
          <w:trHeight w:val="163"/>
        </w:trPr>
        <w:tc>
          <w:tcPr>
            <w:tcW w:w="2540" w:type="dxa"/>
            <w:vAlign w:val="bottom"/>
          </w:tcPr>
          <w:p>
            <w:pPr>
              <w:spacing w:after="0"/>
              <w:rPr>
                <w:sz w:val="14"/>
                <w:szCs w:val="14"/>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4"/>
                <w:szCs w:val="14"/>
                <w:b w:val="1"/>
                <w:bCs w:val="1"/>
                <w:i w:val="1"/>
                <w:iCs w:val="1"/>
                <w:color w:val="auto"/>
                <w:w w:val="97"/>
              </w:rPr>
              <w:t>UNDER</w:t>
            </w:r>
          </w:p>
        </w:tc>
      </w:tr>
      <w:tr>
        <w:trPr>
          <w:trHeight w:val="179"/>
        </w:trPr>
        <w:tc>
          <w:tcPr>
            <w:tcW w:w="2540" w:type="dxa"/>
            <w:vAlign w:val="bottom"/>
          </w:tcPr>
          <w:p>
            <w:pPr>
              <w:spacing w:after="0"/>
              <w:rPr>
                <w:sz w:val="15"/>
                <w:szCs w:val="15"/>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14"/>
                <w:szCs w:val="14"/>
                <w:b w:val="1"/>
                <w:bCs w:val="1"/>
                <w:i w:val="1"/>
                <w:iCs w:val="1"/>
                <w:color w:val="auto"/>
                <w:w w:val="97"/>
              </w:rPr>
              <w:t>THE SECURITIES ACT OF 1933</w:t>
            </w:r>
          </w:p>
        </w:tc>
      </w:tr>
      <w:tr>
        <w:trPr>
          <w:trHeight w:val="102"/>
        </w:trPr>
        <w:tc>
          <w:tcPr>
            <w:tcW w:w="2540" w:type="dxa"/>
            <w:vAlign w:val="bottom"/>
            <w:tcBorders>
              <w:bottom w:val="single" w:sz="8" w:color="auto"/>
            </w:tcBorders>
          </w:tcPr>
          <w:p>
            <w:pPr>
              <w:spacing w:after="0"/>
              <w:rPr>
                <w:sz w:val="8"/>
                <w:szCs w:val="8"/>
                <w:color w:val="auto"/>
              </w:rPr>
            </w:pPr>
          </w:p>
        </w:tc>
        <w:tc>
          <w:tcPr>
            <w:tcW w:w="8400" w:type="dxa"/>
            <w:vAlign w:val="bottom"/>
            <w:tcBorders>
              <w:bottom w:val="single" w:sz="8" w:color="auto"/>
            </w:tcBorders>
          </w:tcPr>
          <w:p>
            <w:pPr>
              <w:spacing w:after="0"/>
              <w:rPr>
                <w:sz w:val="8"/>
                <w:szCs w:val="8"/>
                <w:color w:val="auto"/>
              </w:rPr>
            </w:pPr>
          </w:p>
        </w:tc>
      </w:tr>
      <w:tr>
        <w:trPr>
          <w:trHeight w:val="376"/>
        </w:trPr>
        <w:tc>
          <w:tcPr>
            <w:tcW w:w="2540" w:type="dxa"/>
            <w:vAlign w:val="bottom"/>
          </w:tcPr>
          <w:p>
            <w:pPr>
              <w:spacing w:after="0"/>
              <w:rPr>
                <w:sz w:val="24"/>
                <w:szCs w:val="24"/>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24"/>
                <w:szCs w:val="24"/>
                <w:b w:val="1"/>
                <w:bCs w:val="1"/>
                <w:color w:val="auto"/>
              </w:rPr>
              <w:t>DLH HOLDINGS CORP.</w:t>
            </w:r>
          </w:p>
        </w:tc>
      </w:tr>
      <w:tr>
        <w:trPr>
          <w:trHeight w:val="133"/>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tc>
      </w:tr>
      <w:tr>
        <w:trPr>
          <w:trHeight w:val="155"/>
        </w:trPr>
        <w:tc>
          <w:tcPr>
            <w:tcW w:w="2540" w:type="dxa"/>
            <w:vAlign w:val="bottom"/>
          </w:tcPr>
          <w:p>
            <w:pPr>
              <w:jc w:val="center"/>
              <w:ind w:left="426"/>
              <w:spacing w:after="0"/>
              <w:rPr>
                <w:sz w:val="20"/>
                <w:szCs w:val="20"/>
                <w:color w:val="auto"/>
              </w:rPr>
            </w:pPr>
            <w:r>
              <w:rPr>
                <w:rFonts w:ascii="Times New Roman" w:cs="Times New Roman" w:eastAsia="Times New Roman" w:hAnsi="Times New Roman"/>
                <w:sz w:val="11"/>
                <w:szCs w:val="11"/>
                <w:b w:val="1"/>
                <w:bCs w:val="1"/>
                <w:color w:val="auto"/>
              </w:rPr>
              <w:t>New Jersey</w:t>
            </w:r>
          </w:p>
        </w:tc>
        <w:tc>
          <w:tcPr>
            <w:tcW w:w="8400" w:type="dxa"/>
            <w:vAlign w:val="bottom"/>
          </w:tcPr>
          <w:p>
            <w:pPr>
              <w:jc w:val="center"/>
              <w:ind w:left="5573"/>
              <w:spacing w:after="0"/>
              <w:rPr>
                <w:sz w:val="20"/>
                <w:szCs w:val="20"/>
                <w:color w:val="auto"/>
              </w:rPr>
            </w:pPr>
            <w:r>
              <w:rPr>
                <w:rFonts w:ascii="Times New Roman" w:cs="Times New Roman" w:eastAsia="Times New Roman" w:hAnsi="Times New Roman"/>
                <w:sz w:val="11"/>
                <w:szCs w:val="11"/>
                <w:b w:val="1"/>
                <w:bCs w:val="1"/>
                <w:color w:val="auto"/>
                <w:w w:val="97"/>
              </w:rPr>
              <w:t>22-1899798</w:t>
            </w:r>
          </w:p>
        </w:tc>
      </w:tr>
      <w:tr>
        <w:trPr>
          <w:trHeight w:val="121"/>
        </w:trPr>
        <w:tc>
          <w:tcPr>
            <w:tcW w:w="2540" w:type="dxa"/>
            <w:vAlign w:val="bottom"/>
          </w:tcPr>
          <w:p>
            <w:pPr>
              <w:jc w:val="center"/>
              <w:ind w:left="426"/>
              <w:spacing w:after="0" w:line="121"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8400" w:type="dxa"/>
            <w:vAlign w:val="bottom"/>
          </w:tcPr>
          <w:p>
            <w:pPr>
              <w:jc w:val="center"/>
              <w:ind w:left="5553"/>
              <w:spacing w:after="0" w:line="121"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3"/>
        </w:trPr>
        <w:tc>
          <w:tcPr>
            <w:tcW w:w="2540" w:type="dxa"/>
            <w:vAlign w:val="bottom"/>
          </w:tcPr>
          <w:p>
            <w:pPr>
              <w:jc w:val="center"/>
              <w:ind w:left="426"/>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400" w:type="dxa"/>
            <w:vAlign w:val="bottom"/>
          </w:tcPr>
          <w:p>
            <w:pPr>
              <w:jc w:val="center"/>
              <w:ind w:left="5573"/>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173"/>
        </w:trPr>
        <w:tc>
          <w:tcPr>
            <w:tcW w:w="2540" w:type="dxa"/>
            <w:vAlign w:val="bottom"/>
            <w:tcBorders>
              <w:bottom w:val="single" w:sz="8" w:color="auto"/>
            </w:tcBorders>
          </w:tcPr>
          <w:p>
            <w:pPr>
              <w:spacing w:after="0"/>
              <w:rPr>
                <w:sz w:val="15"/>
                <w:szCs w:val="15"/>
                <w:color w:val="auto"/>
              </w:rPr>
            </w:pPr>
          </w:p>
        </w:tc>
        <w:tc>
          <w:tcPr>
            <w:tcW w:w="8400" w:type="dxa"/>
            <w:vAlign w:val="bottom"/>
            <w:tcBorders>
              <w:bottom w:val="single" w:sz="8" w:color="auto"/>
            </w:tcBorders>
          </w:tcPr>
          <w:p>
            <w:pPr>
              <w:spacing w:after="0"/>
              <w:rPr>
                <w:sz w:val="15"/>
                <w:szCs w:val="15"/>
                <w:color w:val="auto"/>
              </w:rPr>
            </w:pPr>
          </w:p>
        </w:tc>
      </w:tr>
      <w:tr>
        <w:trPr>
          <w:trHeight w:val="205"/>
        </w:trPr>
        <w:tc>
          <w:tcPr>
            <w:tcW w:w="2540" w:type="dxa"/>
            <w:vAlign w:val="bottom"/>
          </w:tcPr>
          <w:p>
            <w:pPr>
              <w:spacing w:after="0"/>
              <w:rPr>
                <w:sz w:val="17"/>
                <w:szCs w:val="17"/>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7"/>
              </w:rPr>
              <w:t>3565 Piedmont Road, NE</w:t>
            </w:r>
          </w:p>
        </w:tc>
      </w:tr>
      <w:tr>
        <w:trPr>
          <w:trHeight w:val="122"/>
        </w:trPr>
        <w:tc>
          <w:tcPr>
            <w:tcW w:w="2540" w:type="dxa"/>
            <w:vAlign w:val="bottom"/>
          </w:tcPr>
          <w:p>
            <w:pPr>
              <w:spacing w:after="0"/>
              <w:rPr>
                <w:sz w:val="10"/>
                <w:szCs w:val="10"/>
                <w:color w:val="auto"/>
              </w:rPr>
            </w:pPr>
          </w:p>
        </w:tc>
        <w:tc>
          <w:tcPr>
            <w:tcW w:w="8400" w:type="dxa"/>
            <w:vAlign w:val="bottom"/>
          </w:tcPr>
          <w:p>
            <w:pPr>
              <w:jc w:val="center"/>
              <w:ind w:right="2133"/>
              <w:spacing w:after="0" w:line="122" w:lineRule="exact"/>
              <w:rPr>
                <w:sz w:val="20"/>
                <w:szCs w:val="20"/>
                <w:color w:val="auto"/>
              </w:rPr>
            </w:pPr>
            <w:r>
              <w:rPr>
                <w:rFonts w:ascii="Times New Roman" w:cs="Times New Roman" w:eastAsia="Times New Roman" w:hAnsi="Times New Roman"/>
                <w:sz w:val="11"/>
                <w:szCs w:val="11"/>
                <w:b w:val="1"/>
                <w:bCs w:val="1"/>
                <w:color w:val="auto"/>
                <w:w w:val="98"/>
              </w:rPr>
              <w:t>Building 3, Suite 700</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Atlanta, Georgia 30305</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(866) 952-1647</w:t>
            </w:r>
          </w:p>
        </w:tc>
      </w:tr>
      <w:tr>
        <w:trPr>
          <w:trHeight w:val="143"/>
        </w:trPr>
        <w:tc>
          <w:tcPr>
            <w:tcW w:w="2540" w:type="dxa"/>
            <w:vAlign w:val="bottom"/>
          </w:tcPr>
          <w:p>
            <w:pPr>
              <w:spacing w:after="0"/>
              <w:rPr>
                <w:sz w:val="12"/>
                <w:szCs w:val="12"/>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(Address, including Zip Code, and Telephone Number, including Area Code, of Registrant’s Principal Executive Offices)</w:t>
            </w:r>
          </w:p>
        </w:tc>
      </w:tr>
      <w:tr>
        <w:trPr>
          <w:trHeight w:val="110"/>
        </w:trPr>
        <w:tc>
          <w:tcPr>
            <w:tcW w:w="254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r>
      <w:tr>
        <w:trPr>
          <w:trHeight w:val="195"/>
        </w:trPr>
        <w:tc>
          <w:tcPr>
            <w:tcW w:w="2540" w:type="dxa"/>
            <w:vAlign w:val="bottom"/>
          </w:tcPr>
          <w:p>
            <w:pPr>
              <w:spacing w:after="0"/>
              <w:rPr>
                <w:sz w:val="16"/>
                <w:szCs w:val="16"/>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Kathryn M. JohnBull</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9"/>
              </w:rPr>
              <w:t>Chief Financial Officer</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7"/>
              </w:rPr>
              <w:t>3565 Piedmont Road, NE</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Building 3, Suite 700</w:t>
            </w:r>
          </w:p>
        </w:tc>
      </w:tr>
      <w:tr>
        <w:trPr>
          <w:trHeight w:val="122"/>
        </w:trPr>
        <w:tc>
          <w:tcPr>
            <w:tcW w:w="2540" w:type="dxa"/>
            <w:vAlign w:val="bottom"/>
          </w:tcPr>
          <w:p>
            <w:pPr>
              <w:spacing w:after="0"/>
              <w:rPr>
                <w:sz w:val="10"/>
                <w:szCs w:val="10"/>
                <w:color w:val="auto"/>
              </w:rPr>
            </w:pPr>
          </w:p>
        </w:tc>
        <w:tc>
          <w:tcPr>
            <w:tcW w:w="8400" w:type="dxa"/>
            <w:vAlign w:val="bottom"/>
          </w:tcPr>
          <w:p>
            <w:pPr>
              <w:jc w:val="center"/>
              <w:ind w:right="2133"/>
              <w:spacing w:after="0" w:line="122" w:lineRule="exact"/>
              <w:rPr>
                <w:sz w:val="20"/>
                <w:szCs w:val="20"/>
                <w:color w:val="auto"/>
              </w:rPr>
            </w:pPr>
            <w:r>
              <w:rPr>
                <w:rFonts w:ascii="Times New Roman" w:cs="Times New Roman" w:eastAsia="Times New Roman" w:hAnsi="Times New Roman"/>
                <w:sz w:val="11"/>
                <w:szCs w:val="11"/>
                <w:b w:val="1"/>
                <w:bCs w:val="1"/>
                <w:color w:val="auto"/>
                <w:w w:val="98"/>
              </w:rPr>
              <w:t>Atlanta, Georgia 30305</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(866) 952-1647</w:t>
            </w:r>
          </w:p>
        </w:tc>
      </w:tr>
      <w:tr>
        <w:trPr>
          <w:trHeight w:val="143"/>
        </w:trPr>
        <w:tc>
          <w:tcPr>
            <w:tcW w:w="2540" w:type="dxa"/>
            <w:vAlign w:val="bottom"/>
          </w:tcPr>
          <w:p>
            <w:pPr>
              <w:spacing w:after="0"/>
              <w:rPr>
                <w:sz w:val="12"/>
                <w:szCs w:val="12"/>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11"/>
                <w:szCs w:val="11"/>
                <w:b w:val="1"/>
                <w:bCs w:val="1"/>
                <w:color w:val="auto"/>
                <w:w w:val="97"/>
              </w:rPr>
              <w:t>(Name, Address, Including Zip Code, and Telephone Number, Including Area Code, of Agent for Service)</w:t>
            </w:r>
          </w:p>
        </w:tc>
      </w:tr>
      <w:tr>
        <w:trPr>
          <w:trHeight w:val="110"/>
        </w:trPr>
        <w:tc>
          <w:tcPr>
            <w:tcW w:w="254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r>
      <w:tr>
        <w:trPr>
          <w:trHeight w:val="297"/>
        </w:trPr>
        <w:tc>
          <w:tcPr>
            <w:tcW w:w="2540" w:type="dxa"/>
            <w:vAlign w:val="bottom"/>
          </w:tcPr>
          <w:p>
            <w:pPr>
              <w:spacing w:after="0"/>
              <w:rPr>
                <w:sz w:val="24"/>
                <w:szCs w:val="24"/>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i w:val="1"/>
                <w:iCs w:val="1"/>
                <w:color w:val="auto"/>
                <w:w w:val="96"/>
              </w:rPr>
              <w:t>Copies to:</w:t>
            </w:r>
          </w:p>
        </w:tc>
      </w:tr>
      <w:tr>
        <w:trPr>
          <w:trHeight w:val="193"/>
        </w:trPr>
        <w:tc>
          <w:tcPr>
            <w:tcW w:w="2540" w:type="dxa"/>
            <w:vAlign w:val="bottom"/>
          </w:tcPr>
          <w:p>
            <w:pPr>
              <w:spacing w:after="0"/>
              <w:rPr>
                <w:sz w:val="16"/>
                <w:szCs w:val="16"/>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7"/>
              </w:rPr>
              <w:t>Victor J. DiGioia, Esq.</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8"/>
              </w:rPr>
              <w:t>Michael A. Goldstein, Esq.</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11"/>
                <w:szCs w:val="11"/>
                <w:b w:val="1"/>
                <w:bCs w:val="1"/>
                <w:color w:val="auto"/>
                <w:w w:val="98"/>
              </w:rPr>
              <w:t>Becker &amp; Poliakoff, P.A.</w:t>
            </w:r>
          </w:p>
        </w:tc>
      </w:tr>
      <w:tr>
        <w:trPr>
          <w:trHeight w:val="132"/>
        </w:trPr>
        <w:tc>
          <w:tcPr>
            <w:tcW w:w="2540" w:type="dxa"/>
            <w:vAlign w:val="bottom"/>
          </w:tcPr>
          <w:p>
            <w:pPr>
              <w:spacing w:after="0"/>
              <w:rPr>
                <w:sz w:val="11"/>
                <w:szCs w:val="11"/>
                <w:color w:val="auto"/>
              </w:rPr>
            </w:pPr>
          </w:p>
        </w:tc>
        <w:tc>
          <w:tcPr>
            <w:tcW w:w="8400" w:type="dxa"/>
            <w:vAlign w:val="bottom"/>
          </w:tcPr>
          <w:p>
            <w:pPr>
              <w:jc w:val="center"/>
              <w:ind w:right="2113"/>
              <w:spacing w:after="0"/>
              <w:rPr>
                <w:sz w:val="20"/>
                <w:szCs w:val="20"/>
                <w:color w:val="auto"/>
              </w:rPr>
            </w:pPr>
            <w:r>
              <w:rPr>
                <w:rFonts w:ascii="Times New Roman" w:cs="Times New Roman" w:eastAsia="Times New Roman" w:hAnsi="Times New Roman"/>
                <w:sz w:val="11"/>
                <w:szCs w:val="11"/>
                <w:b w:val="1"/>
                <w:bCs w:val="1"/>
                <w:color w:val="auto"/>
                <w:w w:val="97"/>
              </w:rPr>
              <w:t>45 Broadway, 17th Floor</w:t>
            </w:r>
          </w:p>
        </w:tc>
      </w:tr>
      <w:tr>
        <w:trPr>
          <w:trHeight w:val="143"/>
        </w:trPr>
        <w:tc>
          <w:tcPr>
            <w:tcW w:w="2540" w:type="dxa"/>
            <w:vAlign w:val="bottom"/>
          </w:tcPr>
          <w:p>
            <w:pPr>
              <w:spacing w:after="0"/>
              <w:rPr>
                <w:sz w:val="12"/>
                <w:szCs w:val="12"/>
                <w:color w:val="auto"/>
              </w:rPr>
            </w:pPr>
          </w:p>
        </w:tc>
        <w:tc>
          <w:tcPr>
            <w:tcW w:w="8400" w:type="dxa"/>
            <w:vAlign w:val="bottom"/>
          </w:tcPr>
          <w:p>
            <w:pPr>
              <w:jc w:val="center"/>
              <w:ind w:right="2133"/>
              <w:spacing w:after="0"/>
              <w:rPr>
                <w:sz w:val="20"/>
                <w:szCs w:val="20"/>
                <w:color w:val="auto"/>
              </w:rPr>
            </w:pPr>
            <w:r>
              <w:rPr>
                <w:rFonts w:ascii="Times New Roman" w:cs="Times New Roman" w:eastAsia="Times New Roman" w:hAnsi="Times New Roman"/>
                <w:sz w:val="11"/>
                <w:szCs w:val="11"/>
                <w:b w:val="1"/>
                <w:bCs w:val="1"/>
                <w:color w:val="auto"/>
                <w:w w:val="97"/>
              </w:rPr>
              <w:t>New York, New York 10006</w:t>
            </w:r>
          </w:p>
        </w:tc>
      </w:tr>
    </w:tbl>
    <w:p>
      <w:pPr>
        <w:ind w:left="5560" w:hanging="255"/>
        <w:spacing w:after="0"/>
        <w:tabs>
          <w:tab w:leader="none" w:pos="5560" w:val="left"/>
        </w:tabs>
        <w:numPr>
          <w:ilvl w:val="0"/>
          <w:numId w:val="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599-3322</w:t>
      </w:r>
    </w:p>
    <w:p>
      <w:pPr>
        <w:spacing w:after="0" w:line="25" w:lineRule="exact"/>
        <w:rPr>
          <w:rFonts w:ascii="Times New Roman" w:cs="Times New Roman" w:eastAsia="Times New Roman" w:hAnsi="Times New Roman"/>
          <w:sz w:val="11"/>
          <w:szCs w:val="11"/>
          <w:b w:val="1"/>
          <w:bCs w:val="1"/>
          <w:color w:val="auto"/>
        </w:rPr>
      </w:pPr>
    </w:p>
    <w:p>
      <w:pPr>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this registration statement becomes effective.</w:t>
      </w:r>
    </w:p>
    <w:p>
      <w:pPr>
        <w:spacing w:after="0" w:line="54" w:lineRule="exact"/>
        <w:rPr>
          <w:rFonts w:ascii="Times New Roman" w:cs="Times New Roman" w:eastAsia="Times New Roman" w:hAnsi="Times New Roman"/>
          <w:sz w:val="11"/>
          <w:szCs w:val="11"/>
          <w:b w:val="1"/>
          <w:bCs w:val="1"/>
          <w:color w:val="auto"/>
        </w:rPr>
      </w:pPr>
    </w:p>
    <w:p>
      <w:pPr>
        <w:spacing w:after="0" w:line="127" w:lineRule="exact"/>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91" w:lineRule="exact"/>
        <w:rPr>
          <w:sz w:val="24"/>
          <w:szCs w:val="24"/>
          <w:color w:val="auto"/>
        </w:rPr>
      </w:pPr>
    </w:p>
    <w:p>
      <w:pPr>
        <w:ind w:left="240" w:right="160"/>
        <w:spacing w:after="0" w:line="145"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35" w:lineRule="exact"/>
        <w:rPr>
          <w:sz w:val="24"/>
          <w:szCs w:val="24"/>
          <w:color w:val="auto"/>
        </w:rPr>
      </w:pPr>
    </w:p>
    <w:p>
      <w:pPr>
        <w:ind w:left="240" w:right="220"/>
        <w:spacing w:after="0" w:line="145"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left="240" w:right="500"/>
        <w:spacing w:after="0" w:line="145"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1" w:lineRule="exact"/>
        <w:rPr>
          <w:sz w:val="24"/>
          <w:szCs w:val="24"/>
          <w:color w:val="auto"/>
        </w:rPr>
      </w:pPr>
    </w:p>
    <w:p>
      <w:pPr>
        <w:ind w:left="240"/>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0"/>
          <w:szCs w:val="10"/>
          <w:color w:val="auto"/>
        </w:rPr>
        <w:t>☐</w:t>
      </w:r>
    </w:p>
    <w:p>
      <w:pPr>
        <w:spacing w:after="0" w:line="102" w:lineRule="exact"/>
        <w:rPr>
          <w:sz w:val="24"/>
          <w:szCs w:val="24"/>
          <w:color w:val="auto"/>
        </w:rPr>
      </w:pPr>
    </w:p>
    <w:p>
      <w:pPr>
        <w:ind w:left="240" w:right="160"/>
        <w:spacing w:after="0" w:line="145"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6" w:lineRule="exact"/>
        <w:rPr>
          <w:sz w:val="24"/>
          <w:szCs w:val="24"/>
          <w:color w:val="auto"/>
        </w:rPr>
      </w:pPr>
    </w:p>
    <w:p>
      <w:pPr>
        <w:ind w:left="24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507" w:right="319" w:bottom="1440" w:gutter="0" w:footer="0" w:header="0"/>
        </w:sectPr>
      </w:pPr>
    </w:p>
    <w:p>
      <w:pPr>
        <w:spacing w:after="0" w:line="60" w:lineRule="exact"/>
        <w:rPr>
          <w:sz w:val="24"/>
          <w:szCs w:val="24"/>
          <w:color w:val="auto"/>
        </w:rPr>
      </w:pPr>
    </w:p>
    <w:p>
      <w:pPr>
        <w:ind w:left="20"/>
        <w:spacing w:after="0" w:line="127" w:lineRule="exact"/>
        <w:tabs>
          <w:tab w:leader="none" w:pos="2720" w:val="left"/>
          <w:tab w:leader="none" w:pos="546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56"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327" w:lineRule="exact"/>
        <w:rPr>
          <w:sz w:val="24"/>
          <w:szCs w:val="24"/>
          <w:color w:val="auto"/>
        </w:rPr>
      </w:pPr>
    </w:p>
    <w:p>
      <w:pPr>
        <w:sectPr>
          <w:pgSz w:w="11900" w:h="16838" w:orient="portrait"/>
          <w:cols w:equalWidth="0" w:num="3">
            <w:col w:w="7500" w:space="720"/>
            <w:col w:w="1180" w:space="60"/>
            <w:col w:w="1820"/>
          </w:cols>
          <w:pgMar w:left="300" w:top="507" w:right="319" w:bottom="1440" w:gutter="0" w:footer="0" w:header="0"/>
          <w:type w:val="continuous"/>
        </w:sect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113" w:lineRule="exact"/>
        <w:rPr>
          <w:sz w:val="24"/>
          <w:szCs w:val="24"/>
          <w:color w:val="auto"/>
        </w:rPr>
      </w:pPr>
    </w:p>
    <w:p>
      <w:pPr>
        <w:ind w:right="180"/>
        <w:spacing w:after="0" w:line="25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80"/>
          </w:cols>
          <w:pgMar w:left="300" w:top="507" w:right="319" w:bottom="1440" w:gutter="0" w:footer="0" w:header="0"/>
          <w:type w:val="continuous"/>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4"/>
          <w:szCs w:val="14"/>
          <w:b w:val="1"/>
          <w:bCs w:val="1"/>
          <w:color w:val="F1665F"/>
        </w:rPr>
        <w:t>The information in this prospectus is not complete and may be changed. These securities may not be sold nor may offers to buy these securities be accepted prior to the time the registration statement filed with the Securities and Exchange Commission becomes effective. This prospectus is not an offer to sell these securities and it is not soliciting an offer to buy these securities in any jurisdiction where the offer or sale is not permitted.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1665F"/>
        </w:rPr>
        <w:t>SUBJECT TO COMPLETION, DATED June 4,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DLH HOLDINGS CORP.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1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4"/>
          <w:szCs w:val="14"/>
          <w:color w:val="auto"/>
        </w:rPr>
        <w:t>We may offer and sell an indeterminate number of shares of our common stock, preferred stock, warrants to purchase common stock or preferred stock; rights to purchase common stock or preferred stock; either individually or in units comprised of any combination of such securities, from time to time under this prospectus. The maximum aggregate offering price for these securities will not exceed $100,000,000.</w:t>
      </w:r>
    </w:p>
    <w:p>
      <w:pPr>
        <w:spacing w:after="0" w:line="1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We will describe in a prospectus supplement, which must accompany this prospectus, the securities we are offering and selling, as well as the specifications of the securities. The prospectus supplement may also add, update or change information contained in the prospectus. You should read this prospectus and the applicable prospectus supplement, as well as the documents incorporated by reference or deemed incorporated by reference into this prospectus, carefully before you invest in any securities.</w:t>
      </w:r>
    </w:p>
    <w:p>
      <w:pPr>
        <w:spacing w:after="0" w:line="1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may offer these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For additional information on the methods of sale, you should refer to the section entitled “</w:t>
      </w:r>
      <w:r>
        <w:rPr>
          <w:rFonts w:ascii="Times New Roman" w:cs="Times New Roman" w:eastAsia="Times New Roman" w:hAnsi="Times New Roman"/>
          <w:sz w:val="14"/>
          <w:szCs w:val="14"/>
          <w:u w:val="single" w:color="auto"/>
          <w:color w:val="0000FF"/>
        </w:rPr>
        <w:t>Plan of Distribution</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FF"/>
        </w:rPr>
        <w:t>38</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“DLHC.” On June 3, 2026, the last reported sale price of our common stock on the Nasdaq Capital Market was $5.51 per share. The applicable prospectus supplement will contain information, where applicable, as to any other listing, if any, on the Nasdaq Capital Market or any securities market or other exchange of the securities covered by the applicable prospectus supplement.</w:t>
      </w:r>
    </w:p>
    <w:p>
      <w:pPr>
        <w:spacing w:after="0" w:line="10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As of June 4, 2026, the aggregate market value of our outstanding common stock held by non-affiliates was $57,314,565, based on 14,493,035 outstanding shares of common stock as of such date, of which approximately 9,011,724 shares are held by non-affiliates, and a per share price of $6.36 based on the closing sale price of our common stock on April 17, 2026, which was the highest closing sale price of our common stock on the Nasdaq Capital Market within 60 days of the filing date of this registration statement. Pursuant to General Instruction I.B.6 of Form S-3, in no event will we sell securities registered on the registration statement of which this prospectus is a part with a value of more than one-third of the aggregate market value of our common stock held by non-affiliates in any 12-month period, so long as the aggregate market value of our common stock held by non-affiliates is less than $75,000,000. As of the date hereof, we have not offered any securities pursuant to General Instruction I.B.6 of Form S-3 during the 12 calendar months prior to and including the date of this prospectus.</w:t>
      </w:r>
    </w:p>
    <w:p>
      <w:pPr>
        <w:spacing w:after="0" w:line="104"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FF"/>
        </w:rPr>
        <w:t>4</w:t>
      </w:r>
      <w:r>
        <w:rPr>
          <w:rFonts w:ascii="Times New Roman" w:cs="Times New Roman" w:eastAsia="Times New Roman" w:hAnsi="Times New Roman"/>
          <w:sz w:val="14"/>
          <w:szCs w:val="14"/>
          <w:b w:val="1"/>
          <w:bCs w:val="1"/>
          <w:color w:val="auto"/>
        </w:rPr>
        <w:t xml:space="preserve"> of this prospectus, in any prospectus supplement that we may file and in the documents we incorporate by reference in this prospectus.</w:t>
      </w:r>
    </w:p>
    <w:p>
      <w:pPr>
        <w:spacing w:after="0" w:line="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or sell any securities unless accompanied by a prospectus supplement.</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4, 2026</w:t>
      </w:r>
    </w:p>
    <w:p>
      <w:pPr>
        <w:sectPr>
          <w:pgSz w:w="11900" w:h="16838" w:orient="portrait"/>
          <w:cols w:equalWidth="0" w:num="1">
            <w:col w:w="11280"/>
          </w:cols>
          <w:pgMar w:left="300" w:top="73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9"/>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60" w:type="dxa"/>
            <w:vAlign w:val="bottom"/>
            <w:gridSpan w:val="3"/>
          </w:tcPr>
          <w:p>
            <w:pPr>
              <w:jc w:val="right"/>
              <w:ind w:right="485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86"/>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2"/>
        </w:trPr>
        <w:tc>
          <w:tcPr>
            <w:tcW w:w="400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FF"/>
              </w:rPr>
              <w:t>About this Prospectus</w:t>
            </w:r>
          </w:p>
        </w:tc>
        <w:tc>
          <w:tcPr>
            <w:tcW w:w="6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u w:val="single" w:color="auto"/>
                <w:color w:val="0000FF"/>
              </w:rPr>
              <w:t>i</w:t>
            </w:r>
          </w:p>
        </w:tc>
      </w:tr>
      <w:tr>
        <w:trPr>
          <w:trHeight w:val="153"/>
        </w:trPr>
        <w:tc>
          <w:tcPr>
            <w:tcW w:w="1180" w:type="dxa"/>
            <w:vAlign w:val="bottom"/>
            <w:tcBorders>
              <w:top w:val="single" w:sz="8" w:color="0000FF"/>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FF"/>
                <w:w w:val="97"/>
              </w:rPr>
              <w:t>Prospectus Summary</w:t>
            </w:r>
          </w:p>
        </w:tc>
        <w:tc>
          <w:tcPr>
            <w:tcW w:w="2820" w:type="dxa"/>
            <w:vAlign w:val="bottom"/>
            <w:gridSpan w:val="8"/>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1</w:t>
            </w:r>
          </w:p>
        </w:tc>
      </w:tr>
      <w:tr>
        <w:trPr>
          <w:trHeight w:val="153"/>
        </w:trPr>
        <w:tc>
          <w:tcPr>
            <w:tcW w:w="680" w:type="dxa"/>
            <w:vAlign w:val="bottom"/>
            <w:tcBorders>
              <w:top w:val="single" w:sz="8" w:color="0000FF"/>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FF"/>
                <w:w w:val="93"/>
              </w:rPr>
              <w:t>Risk Factors</w:t>
            </w:r>
          </w:p>
        </w:tc>
        <w:tc>
          <w:tcPr>
            <w:tcW w:w="460" w:type="dxa"/>
            <w:vAlign w:val="bottom"/>
            <w:tcBorders>
              <w:top w:val="single" w:sz="8" w:color="0000FF"/>
            </w:tcBorders>
            <w:gridSpan w:val="5"/>
          </w:tcPr>
          <w:p>
            <w:pPr>
              <w:spacing w:after="0"/>
              <w:rPr>
                <w:sz w:val="13"/>
                <w:szCs w:val="13"/>
                <w:color w:val="auto"/>
              </w:rPr>
            </w:pPr>
          </w:p>
        </w:tc>
        <w:tc>
          <w:tcPr>
            <w:tcW w:w="2860" w:type="dxa"/>
            <w:vAlign w:val="bottom"/>
            <w:gridSpan w:val="10"/>
          </w:tcPr>
          <w:p>
            <w:pPr>
              <w:spacing w:after="0"/>
              <w:rPr>
                <w:sz w:val="13"/>
                <w:szCs w:val="13"/>
                <w:color w:val="auto"/>
              </w:rPr>
            </w:pPr>
          </w:p>
        </w:tc>
        <w:tc>
          <w:tcPr>
            <w:tcW w:w="7180" w:type="dxa"/>
            <w:vAlign w:val="bottom"/>
            <w:gridSpan w:val="2"/>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line="153" w:lineRule="exact"/>
              <w:rPr>
                <w:sz w:val="20"/>
                <w:szCs w:val="20"/>
                <w:color w:val="auto"/>
              </w:rPr>
            </w:pPr>
            <w:r>
              <w:rPr>
                <w:rFonts w:ascii="Times New Roman" w:cs="Times New Roman" w:eastAsia="Times New Roman" w:hAnsi="Times New Roman"/>
                <w:sz w:val="14"/>
                <w:szCs w:val="14"/>
                <w:color w:val="0000FF"/>
                <w:w w:val="85"/>
              </w:rPr>
              <w:t>4</w:t>
            </w:r>
          </w:p>
        </w:tc>
      </w:tr>
      <w:tr>
        <w:trPr>
          <w:trHeight w:val="153"/>
        </w:trPr>
        <w:tc>
          <w:tcPr>
            <w:tcW w:w="3120" w:type="dxa"/>
            <w:vAlign w:val="bottom"/>
            <w:gridSpan w:val="16"/>
          </w:tcPr>
          <w:p>
            <w:pPr>
              <w:spacing w:after="0" w:line="153" w:lineRule="exact"/>
              <w:rPr>
                <w:sz w:val="20"/>
                <w:szCs w:val="20"/>
                <w:color w:val="auto"/>
              </w:rPr>
            </w:pPr>
            <w:r>
              <w:rPr>
                <w:rFonts w:ascii="Times New Roman" w:cs="Times New Roman" w:eastAsia="Times New Roman" w:hAnsi="Times New Roman"/>
                <w:sz w:val="14"/>
                <w:szCs w:val="14"/>
                <w:color w:val="0000FF"/>
                <w:w w:val="96"/>
              </w:rPr>
              <w:t>Cautionary Note Regarding Forward-Looking Statements</w:t>
            </w:r>
          </w:p>
        </w:tc>
        <w:tc>
          <w:tcPr>
            <w:tcW w:w="880" w:type="dxa"/>
            <w:vAlign w:val="bottom"/>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20</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88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w w:val="94"/>
              </w:rPr>
              <w:t>Use of Proceeds</w:t>
            </w:r>
          </w:p>
        </w:tc>
        <w:tc>
          <w:tcPr>
            <w:tcW w:w="224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22</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60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FF"/>
                <w:w w:val="94"/>
              </w:rPr>
              <w:t>The Securities We May Offer</w:t>
            </w:r>
          </w:p>
        </w:tc>
        <w:tc>
          <w:tcPr>
            <w:tcW w:w="2400" w:type="dxa"/>
            <w:vAlign w:val="bottom"/>
            <w:gridSpan w:val="5"/>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23</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60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FF"/>
                <w:w w:val="98"/>
              </w:rPr>
              <w:t>Description of Capital Stock</w:t>
            </w:r>
          </w:p>
        </w:tc>
        <w:tc>
          <w:tcPr>
            <w:tcW w:w="2400" w:type="dxa"/>
            <w:vAlign w:val="bottom"/>
            <w:gridSpan w:val="5"/>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24</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540" w:type="dxa"/>
            <w:vAlign w:val="bottom"/>
            <w:gridSpan w:val="11"/>
          </w:tcPr>
          <w:p>
            <w:pPr>
              <w:spacing w:after="0" w:line="153" w:lineRule="exact"/>
              <w:rPr>
                <w:sz w:val="20"/>
                <w:szCs w:val="20"/>
                <w:color w:val="auto"/>
              </w:rPr>
            </w:pPr>
            <w:r>
              <w:rPr>
                <w:rFonts w:ascii="Times New Roman" w:cs="Times New Roman" w:eastAsia="Times New Roman" w:hAnsi="Times New Roman"/>
                <w:sz w:val="14"/>
                <w:szCs w:val="14"/>
                <w:color w:val="0000FF"/>
              </w:rPr>
              <w:t>Description of Warrants</w:t>
            </w:r>
          </w:p>
        </w:tc>
        <w:tc>
          <w:tcPr>
            <w:tcW w:w="100" w:type="dxa"/>
            <w:vAlign w:val="bottom"/>
            <w:gridSpan w:val="2"/>
          </w:tcPr>
          <w:p>
            <w:pPr>
              <w:spacing w:after="0"/>
              <w:rPr>
                <w:sz w:val="13"/>
                <w:szCs w:val="13"/>
                <w:color w:val="auto"/>
              </w:rPr>
            </w:pPr>
          </w:p>
        </w:tc>
        <w:tc>
          <w:tcPr>
            <w:tcW w:w="2360" w:type="dxa"/>
            <w:vAlign w:val="bottom"/>
            <w:gridSpan w:val="4"/>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64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FF"/>
              </w:rPr>
              <w:t>Description of Rights</w:t>
            </w:r>
          </w:p>
        </w:tc>
        <w:tc>
          <w:tcPr>
            <w:tcW w:w="2360" w:type="dxa"/>
            <w:vAlign w:val="bottom"/>
            <w:gridSpan w:val="4"/>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32</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16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0000FF"/>
                <w:w w:val="99"/>
              </w:rPr>
              <w:t>Description of Units</w:t>
            </w:r>
          </w:p>
        </w:tc>
        <w:tc>
          <w:tcPr>
            <w:tcW w:w="480" w:type="dxa"/>
            <w:vAlign w:val="bottom"/>
            <w:gridSpan w:val="5"/>
          </w:tcPr>
          <w:p>
            <w:pPr>
              <w:spacing w:after="0"/>
              <w:rPr>
                <w:sz w:val="13"/>
                <w:szCs w:val="13"/>
                <w:color w:val="auto"/>
              </w:rPr>
            </w:pPr>
          </w:p>
        </w:tc>
        <w:tc>
          <w:tcPr>
            <w:tcW w:w="2360" w:type="dxa"/>
            <w:vAlign w:val="bottom"/>
            <w:gridSpan w:val="4"/>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34</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400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Legal Ownership of Securities</w:t>
            </w: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35</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1080" w:type="dxa"/>
            <w:vAlign w:val="bottom"/>
            <w:gridSpan w:val="5"/>
          </w:tcPr>
          <w:p>
            <w:pPr>
              <w:spacing w:after="0" w:line="153" w:lineRule="exact"/>
              <w:rPr>
                <w:sz w:val="20"/>
                <w:szCs w:val="20"/>
                <w:color w:val="auto"/>
              </w:rPr>
            </w:pPr>
            <w:r>
              <w:rPr>
                <w:rFonts w:ascii="Times New Roman" w:cs="Times New Roman" w:eastAsia="Times New Roman" w:hAnsi="Times New Roman"/>
                <w:sz w:val="14"/>
                <w:szCs w:val="14"/>
                <w:color w:val="0000FF"/>
                <w:w w:val="95"/>
              </w:rPr>
              <w:t>Plan of Distribution</w:t>
            </w:r>
          </w:p>
        </w:tc>
        <w:tc>
          <w:tcPr>
            <w:tcW w:w="560" w:type="dxa"/>
            <w:vAlign w:val="bottom"/>
            <w:gridSpan w:val="8"/>
          </w:tcPr>
          <w:p>
            <w:pPr>
              <w:spacing w:after="0"/>
              <w:rPr>
                <w:sz w:val="13"/>
                <w:szCs w:val="13"/>
                <w:color w:val="auto"/>
              </w:rPr>
            </w:pPr>
          </w:p>
        </w:tc>
        <w:tc>
          <w:tcPr>
            <w:tcW w:w="2360" w:type="dxa"/>
            <w:vAlign w:val="bottom"/>
            <w:gridSpan w:val="4"/>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38</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7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0000FF"/>
                <w:w w:val="94"/>
              </w:rPr>
              <w:t>Legal Matters</w:t>
            </w:r>
          </w:p>
        </w:tc>
        <w:tc>
          <w:tcPr>
            <w:tcW w:w="320" w:type="dxa"/>
            <w:vAlign w:val="bottom"/>
            <w:gridSpan w:val="2"/>
          </w:tcPr>
          <w:p>
            <w:pPr>
              <w:spacing w:after="0"/>
              <w:rPr>
                <w:sz w:val="13"/>
                <w:szCs w:val="13"/>
                <w:color w:val="auto"/>
              </w:rPr>
            </w:pPr>
          </w:p>
        </w:tc>
        <w:tc>
          <w:tcPr>
            <w:tcW w:w="2920" w:type="dxa"/>
            <w:vAlign w:val="bottom"/>
            <w:gridSpan w:val="12"/>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41</w:t>
            </w:r>
          </w:p>
        </w:tc>
      </w:tr>
      <w:tr>
        <w:trPr>
          <w:trHeight w:val="20"/>
        </w:trPr>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7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0000FF"/>
              </w:rPr>
              <w:t>Experts</w:t>
            </w:r>
          </w:p>
        </w:tc>
        <w:tc>
          <w:tcPr>
            <w:tcW w:w="3240" w:type="dxa"/>
            <w:vAlign w:val="bottom"/>
            <w:gridSpan w:val="14"/>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41</w:t>
            </w:r>
          </w:p>
        </w:tc>
      </w:tr>
      <w:tr>
        <w:trPr>
          <w:trHeight w:val="20"/>
        </w:trPr>
        <w:tc>
          <w:tcPr>
            <w:tcW w:w="400" w:type="dxa"/>
            <w:vAlign w:val="bottom"/>
            <w:shd w:val="clear" w:color="auto" w:fill="0000FF"/>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2160" w:type="dxa"/>
            <w:vAlign w:val="bottom"/>
            <w:gridSpan w:val="14"/>
          </w:tcPr>
          <w:p>
            <w:pPr>
              <w:spacing w:after="0" w:line="153" w:lineRule="exact"/>
              <w:rPr>
                <w:sz w:val="20"/>
                <w:szCs w:val="20"/>
                <w:color w:val="auto"/>
              </w:rPr>
            </w:pPr>
            <w:r>
              <w:rPr>
                <w:rFonts w:ascii="Times New Roman" w:cs="Times New Roman" w:eastAsia="Times New Roman" w:hAnsi="Times New Roman"/>
                <w:sz w:val="14"/>
                <w:szCs w:val="14"/>
                <w:color w:val="0000FF"/>
                <w:w w:val="95"/>
              </w:rPr>
              <w:t>Where You Can Find More Information</w:t>
            </w:r>
          </w:p>
        </w:tc>
        <w:tc>
          <w:tcPr>
            <w:tcW w:w="1840" w:type="dxa"/>
            <w:vAlign w:val="bottom"/>
            <w:gridSpan w:val="3"/>
          </w:tcPr>
          <w:p>
            <w:pPr>
              <w:spacing w:after="0"/>
              <w:rPr>
                <w:sz w:val="13"/>
                <w:szCs w:val="13"/>
                <w:color w:val="auto"/>
              </w:rPr>
            </w:pP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41</w:t>
            </w:r>
          </w:p>
        </w:tc>
      </w:tr>
      <w:tr>
        <w:trPr>
          <w:trHeight w:val="20"/>
        </w:trPr>
        <w:tc>
          <w:tcPr>
            <w:tcW w:w="2160" w:type="dxa"/>
            <w:vAlign w:val="bottom"/>
            <w:gridSpan w:val="1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1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3"/>
        </w:trPr>
        <w:tc>
          <w:tcPr>
            <w:tcW w:w="400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7260" w:type="dxa"/>
            <w:vAlign w:val="bottom"/>
            <w:gridSpan w:val="3"/>
          </w:tcPr>
          <w:p>
            <w:pPr>
              <w:jc w:val="right"/>
              <w:spacing w:after="0" w:line="153" w:lineRule="exact"/>
              <w:rPr>
                <w:sz w:val="20"/>
                <w:szCs w:val="20"/>
                <w:color w:val="auto"/>
              </w:rPr>
            </w:pPr>
            <w:r>
              <w:rPr>
                <w:rFonts w:ascii="Times New Roman" w:cs="Times New Roman" w:eastAsia="Times New Roman" w:hAnsi="Times New Roman"/>
                <w:sz w:val="14"/>
                <w:szCs w:val="14"/>
                <w:color w:val="0000FF"/>
              </w:rPr>
              <w:t>42</w:t>
            </w:r>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260"/>
          </w:cols>
          <w:pgMar w:left="320" w:top="1221"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SEC, using a “shelf” registration process. Under the shelf process, we may sell, from time to time, common stock, preferred stock, warrants, rights, or units in one or more offerings, up to a total aggregate offering price of $100,000,000. This prospectus provides you with a general description of the securities we may offer. Each time we sell securities, we will provide a prospectus supplement that will contain more specific information about the terms of that offering. The prospectus supplement may add, update, or change the information contained in this prospectus. You should read this prospectus and any supplements, together with any documents incorporated by reference into this prospectus or any prospectus supplement carefully and the additional information described under “Where You Can Find More Information,” before you decide to invest in any of these securities. This prospectus may not be used to consummate sales of our securities, unless it is accompanied by a prospectus supplement.</w:t>
      </w:r>
    </w:p>
    <w:p>
      <w:pPr>
        <w:spacing w:after="0" w:line="10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The SEC allows us to incorporate into this prospectus certain information contained in other documents that we file with the SEC, which means we can disclose important information to you by referring you to those documents. The information incorporated by reference is an important part of this prospectus. The reports and other documents that we file after the date of this prospectus will modify, supplement and supersede the information in this prospectus. You should rely only on the information contained or incorporated by reference in this prospectus and any prospectus supplement. We have not authorized anyone to provide you with different information. No dealer, salesperson or other person is authorized to give you any information or to represent anything not contained in this prospectus or any prospectus supplement, and, if given or made, you must not rely on any such information or representation as being authorized by us.</w:t>
      </w:r>
    </w:p>
    <w:p>
      <w:pPr>
        <w:spacing w:after="0" w:line="1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This prospectus does not constitute an offer to sell or a solicitation of an offer to buy any securities in any circumstances in which such offer or solicitation is unlawful. Neither the delivery of this prospectus nor any sale made in connection with this prospectus shall, under any circumstances, create any implication that there has been no change in our affairs since the date of this prospectus or that the information contained in this prospectus is correct as of any time after its date. You should not assume that the information contained or incorporated by reference in this prospectus or any prospectus supplement is accurate as of any date other than the date on the cover of such prospectus, regardless of the time of delivery of the prospectus or any sale of these securities.</w:t>
      </w:r>
    </w:p>
    <w:p>
      <w:pPr>
        <w:spacing w:after="0" w:line="10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Unless otherwise stated or the context otherwise requires, the terms “we,” “us,” “our,” “DLH” and the “Company” refer to DLH Holdings Corp. and its subsidiaries. Our logo, trademarks and service marks are the property of DLH. Other trademarks or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1221"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782955</wp:posOffset>
            </wp:positionV>
            <wp:extent cx="7172325" cy="4764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4764405"/>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or incorporated by reference in this prospectus. This summary does not contain all of the information that you should consider before investing. You should read this entire prospectus, any applicable prospectus supplement, and the other documents which are incorporated by reference in this prospectus carefully, including the section titled “Risk Factors” and our financial statements and the notes thereto, before making an investment in our securities.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DLH Holdings Corp. delivers improved health and readiness solutions for federal government customers through digital transformation and cyber security, science research and development, and systems engineering and integration. We bring a unique combination of government sector experience, proven methodology, and unwavering commitment to solve the complex problems faced by civilian and military customers alike, doing so by leveraging multiple capabilities, including cyber technology, artificial intelligence, advanced analytics, cloud-based applications, and telehealth systems.</w:t>
      </w:r>
    </w:p>
    <w:p>
      <w:pPr>
        <w:spacing w:after="0" w:line="10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2"/>
          <w:szCs w:val="12"/>
          <w:color w:val="auto"/>
        </w:rPr>
        <w:t>We primarily focus on improved deployment and efficiency of large-scale health and defense initiatives for multiple agencies within the federal government, including the Department of Health and Human Services (“HHS”), the Department of Veterans Affairs (“VA”), Department of Defense (“DoD”), and many of their sub-agencies. We deliver services primarily through prime contracts awarded by the federal government through competitive bidding processes. We have a diverse mix of contract vehicles with various agencies of the federal government, which supports our overall corporate growth strategy. Our revenue is distributed to time and materials contracts, firm fixed price contracts, and cost reimbursable contracts.</w:t>
      </w:r>
    </w:p>
    <w:p>
      <w:pPr>
        <w:spacing w:after="0" w:line="74"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4"/>
          <w:szCs w:val="14"/>
          <w:color w:val="auto"/>
        </w:rPr>
        <w:t>We provide the following services and solutions, which are aligned with the long-term needs of our customers: Digital Transformation and Cyber Security; Science Research and Development; and Systems Engineering and Integration.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Transformation and Cyber Security</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provide critical digital transformation and cyber security solutions across the federal civilian and cyber defense communities, leveraging advanced technology to modernize obsolete systems, protect sensitive information, manage large datasets, and enhance operational efficiency. Our suite of tools includes artificial intelligence and machine learning, cloud enablement, cybersecurity ecosystem, big data analytics, and modeling and simulation.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Science Research and Development</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advance scientific knowledge and understanding through our extensive research portfolio and domain expertise. We primarily provide large-scale data analytics, testing and evaluation, clinical trials research services, and epidemiology studies to support multiple operating divisions within HHS, including the National Institutes of Health and the Center for Disease Control and Prevention, as well as the Military Health 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System Engineering and Integration</w:t>
      </w:r>
    </w:p>
    <w:p>
      <w:pPr>
        <w:spacing w:after="0" w:line="126" w:lineRule="exact"/>
        <w:rPr>
          <w:sz w:val="20"/>
          <w:szCs w:val="20"/>
          <w:color w:val="auto"/>
        </w:rPr>
      </w:pPr>
    </w:p>
    <w:p>
      <w:pPr>
        <w:jc w:val="both"/>
        <w:ind w:right="60"/>
        <w:spacing w:after="0" w:line="314" w:lineRule="auto"/>
        <w:rPr>
          <w:sz w:val="20"/>
          <w:szCs w:val="20"/>
          <w:color w:val="auto"/>
        </w:rPr>
      </w:pPr>
      <w:r>
        <w:rPr>
          <w:rFonts w:ascii="Times New Roman" w:cs="Times New Roman" w:eastAsia="Times New Roman" w:hAnsi="Times New Roman"/>
          <w:sz w:val="12"/>
          <w:szCs w:val="12"/>
          <w:color w:val="auto"/>
        </w:rPr>
        <w:t>Our employees specialize in delivering engineering solutions that support our customers' evolving needs by rapidly deploying resources, solutions, and services. This includes specialized engineering expertise, encompassing areas of Command, Control, Communications, Computers, Cyber, Intelligence, Surveillance, and Reconnaissance, modeling, simulation and training, performance-based logistics, system modernization, technology-powered health solutions and software engineering on behalf of the US Navy, HHS, VA, and other federal customers.</w:t>
      </w:r>
    </w:p>
    <w:p>
      <w:pPr>
        <w:spacing w:after="0" w:line="68"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We manage our operations from our principal executive office in Atlanta, Georgia, and we maintain a National Capital Region office in Bethesda, Maryland. We employ approximately 1,000 skilled employees working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200"/>
          </w:cols>
          <w:pgMar w:left="800" w:top="1440" w:right="899" w:bottom="1440" w:gutter="0" w:footer="0" w:header="0"/>
        </w:sectPr>
      </w:pPr>
    </w:p>
    <w:bookmarkStart w:id="5" w:name="page6"/>
    <w:bookmarkEnd w:id="5"/>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782955</wp:posOffset>
            </wp:positionV>
            <wp:extent cx="7172325" cy="4654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325" cy="46545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Major Customers</w:t>
      </w:r>
    </w:p>
    <w:p>
      <w:pPr>
        <w:spacing w:after="0" w:line="128"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4"/>
          <w:szCs w:val="14"/>
          <w:color w:val="auto"/>
        </w:rPr>
        <w:t>Our revenues are from agencies of the U.S. Federal government. A major customer is defined as a customer from whom we derive at least 10% of our revenues. The following table summarizes revenue by customer for the six-month periods ended March 31, 2026 and 2025, as follows (in thousands and percent):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7"/>
        </w:trPr>
        <w:tc>
          <w:tcPr>
            <w:tcW w:w="4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177"/>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Borders>
              <w:bottom w:val="single" w:sz="8" w:color="auto"/>
            </w:tcBorders>
          </w:tcPr>
          <w:p>
            <w:pPr>
              <w:spacing w:after="0"/>
              <w:rPr>
                <w:sz w:val="12"/>
                <w:szCs w:val="12"/>
                <w:color w:val="auto"/>
              </w:rPr>
            </w:pPr>
          </w:p>
        </w:tc>
      </w:tr>
      <w:tr>
        <w:trPr>
          <w:trHeight w:val="143"/>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Percent of total revenue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Percent of total revenue</w:t>
            </w:r>
          </w:p>
        </w:tc>
        <w:tc>
          <w:tcPr>
            <w:tcW w:w="160" w:type="dxa"/>
            <w:vAlign w:val="bottom"/>
          </w:tcPr>
          <w:p>
            <w:pPr>
              <w:spacing w:after="0"/>
              <w:rPr>
                <w:sz w:val="12"/>
                <w:szCs w:val="12"/>
                <w:color w:val="auto"/>
              </w:rPr>
            </w:pPr>
          </w:p>
        </w:tc>
      </w:tr>
      <w:tr>
        <w:trPr>
          <w:trHeight w:val="16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Department of Health and Human Services</w:t>
            </w:r>
          </w:p>
        </w:tc>
        <w:tc>
          <w:tcPr>
            <w:tcW w:w="30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86,745</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Department of Veterans Affairs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Department of Defense</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28,066</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customers with less than 10% share of total revenue</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179,994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4"/>
          <w:szCs w:val="14"/>
          <w:color w:val="auto"/>
        </w:rPr>
        <w:t>We remain dependent upon the continuation of our relationships with our major customers as a significant portion of our revenue is concentrated in each of them. Our results of operations, cash flows and financial condition would be materially adversely affected if we were unable to continue our relationship with any of these customers, if we were to lose any of our material current contracts, or if the amount of services we provide to them is materially reduced.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Major Contracts</w:t>
      </w:r>
    </w:p>
    <w:p>
      <w:pPr>
        <w:spacing w:after="0" w:line="12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4"/>
          <w:szCs w:val="14"/>
          <w:color w:val="auto"/>
        </w:rPr>
        <w:t>We operate primarily through prime contracts awarded by the government through competitive bidding processes. We have a diverse mix of contract vehicles with various agencies of the United State government, which supports our overall corporate growth strategy. Our Federal contract schedules are renewed on a recurring basis for multi-year periods.</w:t>
      </w:r>
    </w:p>
    <w:p>
      <w:pPr>
        <w:spacing w:after="0" w:line="9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2"/>
          <w:szCs w:val="12"/>
          <w:color w:val="auto"/>
        </w:rPr>
        <w:t>The revenue attributable to the VA was derived from separate task orders covering the Company's performance of pharmacy and logistics services at various regional locations, in support of the VA’s Consolidated Mail Outpatient Pharmacy (“CMOP”) program. CMOP pharmacy and logistic services represented approximately $19.7 million and $28.7 million of revenues for the three months ended March 31, 2026 and 2025, respectively, and $46.6 million and $62.8 million of revenues for the six months ended March 31, 2026 and 2025, respectively. As previously reported, the VA solicited proposals for new contracts covering this work with a requirement for a Service-Disabled Veteran Owned Small Business, or SDVOSB, to perform as the prime contractor. As of May 23, 2026, the VA has awarded and transitioned pharmacy and logistics services to SDVOSB contractors for all CMOP locations.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Associated with Our Business</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These risks are discussed more fully in the “Risk Factors” section of this prospectus. Prior to making a decision about investing in our securities, you should carefully consider the specific factors discussed under the heading “Risk Factors” in this prospectus and in our other reports filed with the SEC, together with all of the other information contained in or incorporated by reference in this prospectus.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8"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4"/>
          <w:szCs w:val="14"/>
          <w:color w:val="auto"/>
        </w:rPr>
        <w:t>From time to time we may offer common stock, preferred stock, warrants, rights, and units at an aggregate initial offering price not to exceed $100,000,000. The warrants or rights that we may offer will consist of warrants or rights to purchase any of the other securities that may be sold under this prospectus and the units that we may offer will be comprised of combinations of the other securities that may be sold under this prospectus.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280"/>
          </w:cols>
          <w:pgMar w:left="800" w:top="1440" w:right="819" w:bottom="1440" w:gutter="0" w:footer="0" w:header="0"/>
        </w:sectPr>
      </w:pPr>
    </w:p>
    <w:bookmarkStart w:id="6" w:name="page7"/>
    <w:bookmarkEnd w:id="6"/>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782955</wp:posOffset>
            </wp:positionV>
            <wp:extent cx="7172325" cy="3744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3744595"/>
                    </a:xfrm>
                    <a:prstGeom prst="rect">
                      <a:avLst/>
                    </a:prstGeom>
                    <a:noFill/>
                  </pic:spPr>
                </pic:pic>
              </a:graphicData>
            </a:graphic>
          </wp:anchor>
        </w:drawing>
      </w:r>
    </w:p>
    <w:p>
      <w:pPr>
        <w:ind w:right="80"/>
        <w:spacing w:after="0" w:line="346" w:lineRule="auto"/>
        <w:rPr>
          <w:sz w:val="20"/>
          <w:szCs w:val="20"/>
          <w:color w:val="auto"/>
        </w:rPr>
      </w:pPr>
      <w:r>
        <w:rPr>
          <w:rFonts w:ascii="Times New Roman" w:cs="Times New Roman" w:eastAsia="Times New Roman" w:hAnsi="Times New Roman"/>
          <w:sz w:val="12"/>
          <w:szCs w:val="12"/>
          <w:color w:val="auto"/>
        </w:rPr>
        <w:t>offered under this prospectus may be offered separately, or as units, which may include combinations of the securities and in amounts, at prices and on terms to be determined at the time of sale. A prospectus supplement that will set forth the terms of the offering of any securities will accompany this prospectus. The terms described in a prospectus supplement will include:</w:t>
      </w:r>
    </w:p>
    <w:p>
      <w:pPr>
        <w:spacing w:after="0" w:line="49" w:lineRule="exact"/>
        <w:rPr>
          <w:sz w:val="20"/>
          <w:szCs w:val="20"/>
          <w:color w:val="auto"/>
        </w:rPr>
      </w:pPr>
    </w:p>
    <w:p>
      <w:pPr>
        <w:ind w:left="480" w:hanging="233"/>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common stock, the offering price and number of shares;</w:t>
      </w:r>
    </w:p>
    <w:p>
      <w:pPr>
        <w:spacing w:after="0" w:line="123" w:lineRule="exact"/>
        <w:rPr>
          <w:rFonts w:ascii="Times New Roman" w:cs="Times New Roman" w:eastAsia="Times New Roman" w:hAnsi="Times New Roman"/>
          <w:sz w:val="14"/>
          <w:szCs w:val="14"/>
          <w:color w:val="auto"/>
        </w:rPr>
      </w:pPr>
    </w:p>
    <w:p>
      <w:pPr>
        <w:ind w:left="500" w:right="20" w:hanging="253"/>
        <w:spacing w:after="0" w:line="314" w:lineRule="auto"/>
        <w:tabs>
          <w:tab w:leader="none" w:pos="49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preferred stock, with respect to the relevant class or series, the offering price, title, maximum number of shares, dividend rate, if any (which may be fixed or variable), time of payment and relative priority of any dividends, any terms for redemption at our option or the option of the holder, any terms for sinking fund payments, any terms for conversion or exchange into other securities, any voting rights, any restrictions on future issuances, any listing on a securities exchange and any other terms of the preferred stock;</w:t>
      </w:r>
    </w:p>
    <w:p>
      <w:pPr>
        <w:spacing w:after="0" w:line="68" w:lineRule="exact"/>
        <w:rPr>
          <w:rFonts w:ascii="Times New Roman" w:cs="Times New Roman" w:eastAsia="Times New Roman" w:hAnsi="Times New Roman"/>
          <w:sz w:val="12"/>
          <w:szCs w:val="12"/>
          <w:color w:val="auto"/>
        </w:rPr>
      </w:pPr>
    </w:p>
    <w:p>
      <w:pPr>
        <w:ind w:left="500" w:hanging="253"/>
        <w:spacing w:after="0" w:line="346" w:lineRule="auto"/>
        <w:tabs>
          <w:tab w:leader="none" w:pos="49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warrants, the offering price, designation and terms of the security purchasable upon exercise of the warrant (which may be common or preferred stock), exercise price, amount of such underlying security that may be purchased upon exercise, exercisability and expiration dates, redemption provisions, if any, and any other terms of the warrants;</w:t>
      </w:r>
    </w:p>
    <w:p>
      <w:pPr>
        <w:spacing w:after="0" w:line="49" w:lineRule="exact"/>
        <w:rPr>
          <w:rFonts w:ascii="Times New Roman" w:cs="Times New Roman" w:eastAsia="Times New Roman" w:hAnsi="Times New Roman"/>
          <w:sz w:val="12"/>
          <w:szCs w:val="12"/>
          <w:color w:val="auto"/>
        </w:rPr>
      </w:pPr>
    </w:p>
    <w:p>
      <w:pPr>
        <w:ind w:left="500" w:right="320" w:hanging="253"/>
        <w:spacing w:after="0" w:line="263"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rights, the offering price, designation and terms of the security purchasable upon exercise of the right (which may be common or preferred stock), exercise price, amount of such underlying security that may be purchased upon exercise, exercisability and expiration dates, and any other terms of the rights; and</w:t>
      </w:r>
    </w:p>
    <w:p>
      <w:pPr>
        <w:spacing w:after="0" w:line="94" w:lineRule="exact"/>
        <w:rPr>
          <w:rFonts w:ascii="Times New Roman" w:cs="Times New Roman" w:eastAsia="Times New Roman" w:hAnsi="Times New Roman"/>
          <w:sz w:val="14"/>
          <w:szCs w:val="14"/>
          <w:color w:val="auto"/>
        </w:rPr>
      </w:pPr>
    </w:p>
    <w:p>
      <w:pPr>
        <w:ind w:left="500" w:right="40" w:hanging="253"/>
        <w:spacing w:after="0" w:line="263"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units, the terms of the units offered and the terms of the underlying securities comprising the units (which may be common or preferred stock, rights or warrants), and any provisions for the issuance, payment, settlement, transfer or exchange of the units or of the securities comprising the units.</w:t>
      </w:r>
    </w:p>
    <w:p>
      <w:pPr>
        <w:spacing w:after="0" w:line="9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Any prospectus supplement may also add, update, or change information contained in this prospectus. Such prospectus supplement will also contain the following information about the offered securities: names of any lead or managing underwriters or agents and a description of any underwriting or agency arrangements; and any underwriting discounts and commissions or agency fees, and our net proceeds. This prospectus may not be used to offer or sell securities without a prospectus supplement which includes a description of the method and terms of this offering.</w:t>
      </w:r>
    </w:p>
    <w:p>
      <w:pPr>
        <w:spacing w:after="0" w:line="105"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4"/>
          <w:szCs w:val="14"/>
          <w:color w:val="auto"/>
        </w:rPr>
        <w:t>Certain persons participating in an offering of securities may engage in transactions that stabilize, maintain or otherwise affect the price of the securities, including over-allotment and stabilizing transactions in such securities and the imposition of a penalty bid, in connection with such offering. For a description of these activities, see “Plan of Distribution” in this prospectus.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DLH Holdings Corp., a New Jersey corporation founded in 1969, is a holding company whose direct wholly-owned subsidiaries provide government services both as a prime contractor as well as partnering with other government contractors. DLH, LLC is our direct, wholly-owned subsidiary and the primary operating company of DLH Holdings Corp. Our principal executive offices are located at 3565 Piedmont Road, NE, Building 3- Suite 700, Atlanta, GA 30305. We maintain an Internet site at www.dlhcorp.com. The information on our website is not incorporated by reference into this prospectus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280"/>
          </w:cols>
          <w:pgMar w:left="800" w:top="1440" w:right="8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specific risks described below, the risks that will be discussed in the applicable prospectus supplement, the risks described in our Annual Report on Form 10-K for the fiscal year ended September 30, 2025, and any risks described in our other filings with the Securities and Exchange Commission, pursuant to Sections 13(a), 13(c), 14, or 15(d) of the Securities Exchange Act of 1934, before making an investment decision. See the section of this prospectus entitled “Where You Can Find More Information.” Any of the risks we describe below, any applicable prospectus supplement or in the information incorporated herein by reference could cause our business, financial condition, results of operations or future prospects to be materially adversely affected. The market price of our common stock could decline if one or more of these risks and uncertainties develop into actual events and you could lose all or part of your investment. Additional risks and uncertainties not currently known to us or that we currently deem to be immaterial also may materially adversely affect our business, financial condition, results of operations or future prospects. Some of the statements in this section of the prospectus are forward-looking statements. For more information about forward-looking statements, please see the section of this prospectus entitled “Special Note Regarding Forward-Looking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the Industry in which we Compete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depend on contracts with the Federal government for virtually all of our revenue and our business could be seriously harmed if the Federal government decreased or ceased doing business with us.</w:t>
      </w:r>
    </w:p>
    <w:p>
      <w:pPr>
        <w:spacing w:after="0" w:line="15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2"/>
          <w:szCs w:val="12"/>
          <w:color w:val="auto"/>
        </w:rPr>
        <w:t>At present, we derive 99% of our revenue from agencies of the Federal government, primarily as a prime contractor but also as a subcontractor to other Federal prime contractors. In addition, substantially all accounts receivable, including unbilled accounts receivable, are from agencies of the U.S. Government. In 2025, the U.S. administration began efforts to reduce federal spending and the size of the federal workforce. In addition, the General Services Administration (“GSA”) has instructed all federal agencies to review their contracts with consulting firms and technology product resellers contracting with the U.S. federal government. These and similar spending reductions and contract reviews have resulted in and are likely to continue to result in contract terminations, delays and cancellations of new procurements, and reductions in price and contract scope, which have had an adverse effect on our results, and could in the future have a material impact on our results of operations or financial condition. We expect that Federal government contracts will continue to be our primary source of revenue for the foreseeable future. We believe that the credit risk associated with our receivables is limited due to the creditworthiness of these customers. In general, if we were suspended or debarred from contracting with the federal government or if the government otherwise ceased doing business with us or significantly decreased the amount of business it does with us, our business, financial condition and operating results would be materially and adversely affected.</w:t>
      </w:r>
    </w:p>
    <w:p>
      <w:pPr>
        <w:spacing w:after="0" w:line="24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 significant portion of our revenue is concentrated in a small number of contracts, and we could be seriously harmed if we were unable to continue providing services under, or unsuccessful in our recompete efforts on, these contracts.</w:t>
      </w:r>
    </w:p>
    <w:p>
      <w:pPr>
        <w:spacing w:after="0" w:line="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A significant portion of our revenue has been concentrated in contracts with the VA and HHS. There can be no assurance as to the actual amount of services that we will ultimately provide to VA and HHS under our current contracts, or that we will be successful in recompete efforts. As described in greater detail above under the caption “Prospectus Summary – Major Contracts”, our contracts with the VA for the provision of services to its CMOP operations were subject to renewal solicitations and as of the end of May 2026 have all transitioned to service-disabled veteran owned small businesses to perform as the prime contractor. In light of the decisions by these customers to award contracts to new prime contractors on a set-aside basis, our results of operations, cash flows and financial condition have been adversely affected. Our results of operations, cash flows and financial condition will be further adversely affected if we were unable to continue our relationship with either of these customers, if we were to lose any more of our material current contracts, or if the amount of services we provide to them is further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21" w:right="359" w:bottom="1440" w:gutter="0" w:footer="0" w:header="0"/>
        </w:sectPr>
      </w:pPr>
    </w:p>
    <w:bookmarkStart w:id="8" w:name="page9"/>
    <w:bookmarkEnd w:id="8"/>
    <w:p>
      <w:pPr>
        <w:ind w:right="2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U.S. government may prefer veteran-owned, minority-owned, women-owned, small, and small disadvantaged businesses; therefore, we may have fewer opportunities to bid for or could lose a portion of our existing work to small businesses.</w:t>
      </w:r>
    </w:p>
    <w:p>
      <w:pPr>
        <w:spacing w:after="0" w:line="9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As a result of the Small Business Administration set-aside program, the U.S. government may decide to restrict certain procurement activity only to bidders that qualify as veteran-owned, minority-owned, women-owned, small, or small disadvantaged businesses. In such cases, we would not be eligible to perform as a prime contractor on those programs and would be limited to work as a subcontractor on those programs. As previously reported, various agencies within the Federal government have policies that support small business goals, including the adoption of the “Rule of Two” by the VA, which provides that the agency shall award contracts by restricting competition for the contract to service-disabled or other veteran owned businesses. To restrict competition pursuant to this rule, the contracting officer must reasonably expect that at least two of these businesses, which are capable of delivering the services, will submit offers and that the award can be made at a fair and reasonable price that offers the best value to the United States. The effect of these set-aside provisions may limit our ability to compete for prime contractor positions on programs that we have targeted for growth and to maintain our prime contractor position as current contracts are subject to renewal.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of our contracting vehicles could impair our ability to win new business and perform under existing contracts.</w:t>
      </w:r>
    </w:p>
    <w:p>
      <w:pPr>
        <w:spacing w:after="0" w:line="128"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4"/>
          <w:szCs w:val="14"/>
          <w:color w:val="auto"/>
        </w:rPr>
        <w:t>We currently hold multiple contracting vehicles, which our customers utilize to award contracts. If we were to lose one or more of these contracts or other contracting vehicles, we could lose a significant revenue source and our operating results and financial condition could be materially and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legislative or government budgetary and spending changes could negatively impact our business.</w:t>
      </w:r>
    </w:p>
    <w:p>
      <w:pPr>
        <w:spacing w:after="0" w:line="12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In recent years, we have seen frequent debates regarding the scope of funding of our customers, thereby leading to budgetary uncertainty for our Federal customers. Changes in federal government budgetary priorities or actions taken to address government budget deficits, the national debt, and/or prevailing economic conditions, including government closures or shutdowns could result in projects being reduced in scope or price, or being terminated, and may directly affect our financial performance. Further, political and economic factors, such as pending elections, the outcome of recent elections, changes in leadership among key executive or legislative decision makers, and revisions to governmental tax or other policies can affect the quantity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 Congressional seats may change during election years, and the balance of spending priorities may change along with them. Historically, our customers’ missions have received bipartisan support from the legislative and executive branches of the federal government. However, we anticipate that the current administration and Congress will seek to implement their budget priorities, which may impact our customers’ projects and budgets.</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We may experience disruption of existing programs, delays in contract awards, and other actions, including partial or complete contract terminations. In recent years past, we have seen frequent debates regarding the scope of funding of our customers, thereby leading to budgetary uncertainty for our Federal customers. Changes in Federal government budgetary priorities could directly affect our financial performance. A significant decline in government expenditures, a shift of expenditures away from programs that we support or a change in Federal government contracting policies could cause Federal government agencies to reduce their purchases under contracts, to exercise their right to terminate contracts at any time without penalty or not to exercise options to renew contracts. In the event the budgets or the budgetary priorities of the U.S. Government entities with which we do business are delayed, decreased or underfunded, our consolidated revenues and results of operations could be materially and adversely affected. There is also the possibility that Congress will fail to raise the U.S. debt ceiling when necessary which,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21" w:right="319" w:bottom="1440" w:gutter="0" w:footer="0" w:header="0"/>
        </w:sectPr>
      </w:pPr>
    </w:p>
    <w:bookmarkStart w:id="9" w:name="page10"/>
    <w:bookmarkEnd w:id="9"/>
    <w:p>
      <w:pPr>
        <w:spacing w:after="0" w:line="249" w:lineRule="auto"/>
        <w:rPr>
          <w:sz w:val="20"/>
          <w:szCs w:val="20"/>
          <w:color w:val="auto"/>
        </w:rPr>
      </w:pPr>
      <w:r>
        <w:rPr>
          <w:rFonts w:ascii="Times New Roman" w:cs="Times New Roman" w:eastAsia="Times New Roman" w:hAnsi="Times New Roman"/>
          <w:sz w:val="14"/>
          <w:szCs w:val="14"/>
          <w:color w:val="auto"/>
        </w:rPr>
        <w:t>addition to resulting in federal government shutdowns, could significantly impact the U.S. and global economy, affecting the discretionary spending decisions of our non-governmental clients and affecting the capital markets and our access to related sources of liquidity on terms that are acceptable to us. The delayed or decreased funding or shutdown of many parts of the federal government, including agencies, departments, programs, and projects we support, could have a substantial negative affect on our revenue, profit, and cash flows. Budget compromises that may be needed for future fiscal years may continue to be extraordinarily difficult given the complicated political environment, a closely divided Congress, an increasing federal deficit and debt load, and a challenged economy</w:t>
      </w:r>
    </w:p>
    <w:p>
      <w:pPr>
        <w:spacing w:after="0" w:line="101"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Because we depend on U.S. government contracts, a delay in the completion of the U.S. government's budget and appropriations process could delay procurement of the services we provide and adversely affect our future revenues.</w:t>
      </w:r>
    </w:p>
    <w:p>
      <w:pPr>
        <w:spacing w:after="0" w:line="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or a “CR”, which allows federal government agencies to operate at spending levels approved in the previous appropriations cycle but does not authorize new spending initiatives. When the U.S. government operates under a CR, delays can occur in the procurement of the services and solutions that we provide and may result in new initiatives being canceled. When a CR expires, unless appropriations bills have been passed by Congress and signed by the President, or a new CR is passed and signed into law, the government must cease operations, or shutdown, except in certain emergency situations or when the law authorizes continued activity. We continuously review our operations in an attempt to identify programs potentially at risk from CRs so that we can consider appropriate contingency plans. Congress and the administration have from time to time failed to agree on a continuing resolution, resulting in temporary shutdowns of non-essential federal government functions and our work on such functions.</w:t>
      </w:r>
    </w:p>
    <w:p>
      <w:pPr>
        <w:spacing w:after="0" w:line="11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2"/>
          <w:szCs w:val="12"/>
          <w:color w:val="auto"/>
        </w:rPr>
        <w:t>In general, a federal government shutdown could result in our incurrence of substantial labor or other costs without reimbursement under customer contracts, the delay or cancellation of programs or the delay of contract payments, which could have a negative effect on our cash flows and adversely affect our future results of operations. During a shutdown our customers may issue stop work orders, delay new contract awards, withhold payments, or limit access to government facilities and systems. Although certain of our programs may be deemed essential and continue, others could be delayed or suspended, creating significant unreimbursed costs and deferred revenue. A prolonged shutdown or repeated lapses in funding could also postpone new procurements, reduce activity under existing contracts, and extend the time needed to resume normal operations once funding is restored. These events could materially and adversely affect our business, financial condition, and results of operations.</w:t>
      </w:r>
    </w:p>
    <w:p>
      <w:pPr>
        <w:spacing w:after="0" w:line="75"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markets in which we operate are highly competitive, and many of the companies we compete against have substantial resources. Further, the U.S. Government contract bid process is highly competitive, complex and sometimes lengthy, and is subject to protest and implementation delays.</w:t>
      </w:r>
    </w:p>
    <w:p>
      <w:pPr>
        <w:spacing w:after="0" w:line="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markets in which we operate are highly competitive. Further, many of our contracts and task orders with the Federal government are awarded through a competitive bidding process, which is complex and sometimes lengthy. We expect that much of the opportunities we will seek in the foreseeable future will be awarded through competitive bidding. Furthermore, budgetary pressures and developments in the procurement process have caused many government customers to increasingly purchase goods and services through IDIQ contracts, GSA schedule contracts and other government-wide acquisition contracts. These contracts, some of which are awarded to multiple contractors, have increased competition and pricing pressure, requiring that we make sustained post-award efforts to realize revenue under each such contract. Many of our competitors are larger and have greater resources than we do, larger client bases and greater brand recognition. Our competitors, individually or through relationships with third parties, may be able to provide clients with different or greater capabilities or benefits than we can provide. If we are unsuccessful in competing with these other companies, our revenues and margins may materially decline.</w:t>
      </w:r>
    </w:p>
    <w:p>
      <w:pPr>
        <w:spacing w:after="0" w:line="11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Overall, the competitive bidding process presents a number of risks, including the following: (i) we expend substantial cost and managerial time and effort to prepare bids and proposals for contracts that we may not win, and to defend those bids through any protest process; (ii) we may be unable to estimate accurately the resources and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225" w:right="319" w:bottom="1440" w:gutter="0" w:footer="0" w:header="0"/>
        </w:sectPr>
      </w:pPr>
    </w:p>
    <w:bookmarkStart w:id="10" w:name="page11"/>
    <w:bookmarkEnd w:id="10"/>
    <w:p>
      <w:pPr>
        <w:ind w:right="40"/>
        <w:spacing w:after="0" w:line="245" w:lineRule="auto"/>
        <w:rPr>
          <w:sz w:val="20"/>
          <w:szCs w:val="20"/>
          <w:color w:val="auto"/>
        </w:rPr>
      </w:pPr>
      <w:r>
        <w:rPr>
          <w:rFonts w:ascii="Times New Roman" w:cs="Times New Roman" w:eastAsia="Times New Roman" w:hAnsi="Times New Roman"/>
          <w:sz w:val="14"/>
          <w:szCs w:val="14"/>
          <w:color w:val="auto"/>
        </w:rPr>
        <w:t>structure that will be required to service any contract we win; and (iii) we may encounter expenses and delays if our competitors protest or challenge awards of contracts to us in competitive bidding, and any such protest or challenge could result in the resubmission of bids on modified specifications, or in the termination, reduction or modification of the awarded contract. If we are unable to win particular contracts, we may be prevented from providing the services that are purchased under those contracts for a number of years. If we are unable to consistently win new contract awards over any extended period, our business and prospects will be adversely affected and that could cause our actual results to differ materially and adversely from those anticipated. In addition, upon the expiration of a contract, if the customer requires further services of the type provided by the contract, there is frequently a competitive rebidding process. There can be no assurance that we will win any particular bid, or that we will be able to replace business lost upon expiration or completion of a contract, and the termination or non-renewal of any of our significant contracts could cause our actual results to differ materially and adversely from those anticipated.</w:t>
      </w:r>
    </w:p>
    <w:p>
      <w:pPr>
        <w:spacing w:after="0" w:line="1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4"/>
          <w:szCs w:val="14"/>
          <w:color w:val="auto"/>
        </w:rPr>
        <w:t>If a bid is won and a contract awarded, there still is the possibility of a bid protest or other delays in implementation. Our business could be adversely affected by delays caused by our competitors protesting major contract awards received by us, resulting in the delay of the initiation of work. It can take many months to resolve protests by one or more of our competitors of contract awards we receive. The resulting delay in the startup and funding of the work under these contracts may cause our actual results to differ materially and adversely from those anticipated, and there can be no assurance that such protest process or implementation delays will not have a material adverse effect on our financial condition or results of operations in the future.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suffer if we or our employees are unable to obtain and maintain the necessary security clearances or other qualifications required to perform services for our clients.</w:t>
      </w:r>
    </w:p>
    <w:p>
      <w:pPr>
        <w:spacing w:after="0" w:line="1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Many Federal government contracts require us to have security clearances and employ personnel with specified levels of education, work experience and security clearances. Depending on the level of clearance, security clearances can be difficult and time-consuming to obtain. If we or our employees lose or are unable to obtain necessary security clearances, we may not be able to win new business and our existing clients could terminate their contracts with us or decide not to renew them. To the extent we cannot obtain or maintain the required security clearances for our employees working on a particular contract, we may not derive the revenue anticipated from the contract, which could cause our results to differ materially and adversely from those anticipated.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regulated by complex federal procurement and contracting laws and regulations, and we are subject to periodic compliance reviews by governmental agencies.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must comply with complex laws and regulations relating to the formation, administration, and performance of Federal government contracts, including the Federal Acquisition Regulation, which, among other things, requires us to certify and disclose cost and pricing data and to divest work in the event of certain organizational conflicts of interest. These laws and regulations create compliance risk and affect how we do business with our federal agency clients, and may impose added costs on our business. The government may in the future reform its procurement practices or adopt new contracting rules and regulations, including cost accounting standards, that could be costly to satisfy or that could impair our ability to obtain new contracts or change the basis upon which it reimburses our compensation and other expenses or otherwise limit such reimbursements. These changes could impair our ability to obtain new contracts or win re-competed contracts or adversely affect our future profit margin. Additionally, the government may face restrictions from new legislation, regulations or government union pressures, on the nature and amount of services the government may obtain from private contractors. Any reduction in the government’s use of private contractors to provide federal services could cause our actual results to differ materially and adversely from those anticipated.</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Our performance on our U.S. Government contracts and our compliance with applicable laws and regulations, including submission of invoices to our customers, are subject to audit by the government. The scope of any such audits could span multiple fiscal years. These agencies review our performance on contracts, pricing practices, cost structure and compliance with applicable laws, regulations and standards. They also evaluate the adequacy of internal controls over our business systems, including our purchasing, accounting, estimating, earned value management, and government property systems. Any costs found to be improperly allocated or assigned to contracts will not be reimbursed, and any such costs already reimbursed must be refunded and certain penalties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225" w:right="319" w:bottom="1440" w:gutter="0" w:footer="0" w:header="0"/>
        </w:sectPr>
      </w:pPr>
    </w:p>
    <w:bookmarkStart w:id="11" w:name="page12"/>
    <w:bookmarkEnd w:id="11"/>
    <w:p>
      <w:pPr>
        <w:spacing w:after="0" w:line="245" w:lineRule="auto"/>
        <w:rPr>
          <w:sz w:val="20"/>
          <w:szCs w:val="20"/>
          <w:color w:val="auto"/>
        </w:rPr>
      </w:pPr>
      <w:r>
        <w:rPr>
          <w:rFonts w:ascii="Times New Roman" w:cs="Times New Roman" w:eastAsia="Times New Roman" w:hAnsi="Times New Roman"/>
          <w:sz w:val="14"/>
          <w:szCs w:val="14"/>
          <w:color w:val="auto"/>
        </w:rPr>
        <w:t>imposed. Moreover, if any of the administrative processes and systems are found not to comply with requirements, we may be subjected to increased government scrutiny and approval that could delay or otherwise adversely affect our ability to compete for or perform contracts or collect our revenues in a timely manner. Therefore, an unfavorable outcome of an audit could cause actual results to differ materially and adversely from those anticipated. If a government review or investigation uncovers illegal activities or activities not in compliance with a particular contract's terms or conditions, we may be subject to civil and criminal penalties and administrative sanctions, including termination of contracts, forfeiture of profits, harm to our reputation, suspension of payments, fines, and suspension or debarment from doing business with Federal government agencies. Any of these events could lead to a material reduction in our revenues, cash flows and operating results. Further, as the reputation and relationships that we have established and currently maintain with government personnel and agencies are important to our ability to maintain existing business and secure new business, damage to our reputation or relationships could have a material adverse effect on our revenue and operating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government contracts may be terminated at will and may contain other provisions unfavorable to us.</w:t>
      </w:r>
    </w:p>
    <w:p>
      <w:pPr>
        <w:spacing w:after="0" w:line="12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2"/>
          <w:szCs w:val="12"/>
          <w:color w:val="auto"/>
        </w:rPr>
        <w:t>Many of the U.S. Government programs in which we participate as a contractor or subcontractor may extend for several years. The U.S. Government may modify, curtail or terminate its contracts and subcontracts for convenience and to the extent that a contract award contemplates one or more option years, the Government may decline to exercise such option periods. Accordingly, the maximum contract value specified under a government contract or task order awarded to us is not necessarily indicative of the revenue that we will realize under that contract. Due to our dependence on these programs, the modification, curtailment or termination of our major programs or contracts may have a material adverse effect on our results of operations and financial condition. In addition, Federal government contracts contain provisions and are subject to laws and regulations that give the government rights and remedies, some of which are not typically found in commercial contracts, including allowing the government to</w:t>
      </w:r>
    </w:p>
    <w:p>
      <w:pPr>
        <w:ind w:right="60" w:firstLine="1"/>
        <w:spacing w:after="0" w:line="243" w:lineRule="auto"/>
        <w:tabs>
          <w:tab w:leader="none" w:pos="16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multi-year contracts and related orders if funds for contract performance for an subsequent year become unavailable; (ii) claim rights in systems and software developed by us; (iii) suspend or debar us from doing business with the Federal government or with a governmental agency; and (iv) impose fines and penalties and subject us to criminal prosecution. If the government terminates a contract for convenience, we may recover only our incurred or committed costs, settlement expenses and profit on work completed prior to the termination. If the government terminates a contract for default, we may be unable to recover even those amounts and instead may be liable for excess costs incurred by the government in procuring undelivered items and services from another source. Depending on the value of a contract, such termination could cause our actual results to differ materially and adversely from those anticipated.</w:t>
      </w:r>
    </w:p>
    <w:p>
      <w:pPr>
        <w:spacing w:after="0" w:line="108" w:lineRule="exact"/>
        <w:rPr>
          <w:sz w:val="20"/>
          <w:szCs w:val="20"/>
          <w:color w:val="auto"/>
        </w:rPr>
      </w:pPr>
    </w:p>
    <w:p>
      <w:pPr>
        <w:jc w:val="both"/>
        <w:ind w:right="40"/>
        <w:spacing w:after="0" w:line="304" w:lineRule="auto"/>
        <w:rPr>
          <w:sz w:val="20"/>
          <w:szCs w:val="20"/>
          <w:color w:val="auto"/>
        </w:rPr>
      </w:pPr>
      <w:r>
        <w:rPr>
          <w:rFonts w:ascii="Times New Roman" w:cs="Times New Roman" w:eastAsia="Times New Roman" w:hAnsi="Times New Roman"/>
          <w:sz w:val="12"/>
          <w:szCs w:val="12"/>
          <w:color w:val="auto"/>
        </w:rPr>
        <w:t>Certain contracts also contain organizational conflict of interest (OCI) clauses that limit our ability to compete for or perform certain other contracts. OCIs arise any time we engage in activities that (i) make us unable or potentially unable to render impartial assistance or advice to the government; (ii) impair or might impair our objectivity in performing contract work; or (iii) provide us with an unfair competitive advantage. For example, when we work on the design of a particular system, we may be precluded from competing for the contract to develop and install that system. Depending upon the value of the matters affected, an OCI issue that precludes our participation in or performance of a program or contract could cause our actual results to differ materially and adversely from those anticipated.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fines, penalties and other sanctions if we do not comply with laws governing our business.</w:t>
      </w:r>
    </w:p>
    <w:p>
      <w:pPr>
        <w:spacing w:after="0" w:line="12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2"/>
          <w:szCs w:val="12"/>
          <w:color w:val="auto"/>
        </w:rPr>
        <w:t>Our business lines operate within a variety of complex regulatory schemes, including but not limited to the Federal Acquisition Regulations, Federal Cost Accounting Standards, the Truth in Negotiations Act, as well as the regulations governing accounting standards. If a government audit finds improper or illegal activities by us or we otherwise determine that these activities have occurred, we may be subject to civil and criminal penalties and administrative sanctions, including termination of contracts, forfeiture of profits, suspension of payments, fines and suspension or disqualification from doing business with the government. Any adverse determination could adversely impact our ability to bid in response to Requests for Proposals in one or more jurisdictions. Further, as a government contractor subject to the types of regulatory schemes described above, we are subject to an increased risk of investigations, criminal prosecution, civil fraud, whistleblower lawsuits and other legal actions and liabilities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2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which private sector companies are not, the result of which could have a material adverse effect on our operating results, cash flows and financial condition.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the full amounts authorized under the contracts included in our backlog, which could reduce our revenue in future periods below the levels anticipated.</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total backlog consists of funded and unfunded amounts and may include estimates and assumptions about matters that cannot be determined with certainty at the time the backlog is calculated. Funded backlog represents contract value that has been appropriated by a customer and is expected to be recognized into revenue. Unfunded backlog represents the sum of the unappropriated contract value on executed contracts and unexercised option years that is expected to be recognized into revenue. The maximum contract value specified under a government contract or task order awarded to us is not necessarily indicative of the revenue that we will realize under that contract. For example, we generate revenue from IDIQ contracts, which do not require the government to purchase a pre-determined amount of goods or services under the contract. Action by the government to obtain support from other contractors or failure of the government to order the quantity of work anticipated could cause our actual results to differ materially and adversely from those anticipated. Additionally, many of our multi-year contracts may only be partially-funded at any point during their term with the unfunded portion subject to future appropriations by Congress. As a result of a lack of appropriated funds or efforts to reduce Federal government spending, our backlog may not result in revenue. Accordingly, our backlog may not result in actual revenue in any particular period, or at all, which could cause our actual results to differ materially and adversely from those anticipated.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growth and profitable operations require that we develop and maintain strong relationships with other contractors with whom we partner or otherwise depend on.</w:t>
      </w:r>
    </w:p>
    <w:p>
      <w:pPr>
        <w:spacing w:after="0" w:line="12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4"/>
          <w:szCs w:val="14"/>
          <w:color w:val="auto"/>
        </w:rPr>
        <w:t>We may enter into future teaming ventures with other companies, which carry risk in regards to maintaining strong, trusted working relationships in order to successfully fulfill contract obligations. Teaming arrangements may include being engaged as a subcontractor to a prime contractor, engaging a subcontractor on a contract for which we are the prime contractor, or entering into a joint venture with another company. We may lack control over fulfillment of such contracts, and poor performance on the contract could impact our customer relationship, even if we perform as required. We expect to depend on relationships with other contractors for a portion of our revenue in the foreseeable future. Our revenue and operating results could differ materially and adversely from those anticipated if any such prime contractor or teammate chooses to offer directly to the client services of the type that we provide or if they team with other companies to provide those services.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or other changes to the federal government’s use of service contracts may harm our operating results.</w:t>
      </w:r>
    </w:p>
    <w:p>
      <w:pPr>
        <w:spacing w:after="0" w:line="128"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4"/>
          <w:szCs w:val="14"/>
          <w:color w:val="auto"/>
        </w:rPr>
        <w:t>We derive virtually all of our revenue from service contracts with the Federal government. The government may face restrictions from new legislation, regulations or government union pressures, on the nature and amount of services the government may obtain from private contractors (i.e., insourcing versus outsourcing). Any reduction in the government’s use of private contractors to provide federal services could cause our actual results to differ materially and adversely from those anticipated.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earnings and margins may vary based on the mix of our contracts and programs.</w:t>
      </w:r>
    </w:p>
    <w:p>
      <w:pPr>
        <w:spacing w:after="0" w:line="128" w:lineRule="exact"/>
        <w:rPr>
          <w:sz w:val="20"/>
          <w:szCs w:val="20"/>
          <w:color w:val="auto"/>
        </w:rPr>
      </w:pPr>
    </w:p>
    <w:p>
      <w:pPr>
        <w:jc w:val="both"/>
        <w:ind w:right="40"/>
        <w:spacing w:after="0" w:line="346" w:lineRule="auto"/>
        <w:rPr>
          <w:sz w:val="20"/>
          <w:szCs w:val="20"/>
          <w:color w:val="auto"/>
        </w:rPr>
      </w:pPr>
      <w:r>
        <w:rPr>
          <w:rFonts w:ascii="Times New Roman" w:cs="Times New Roman" w:eastAsia="Times New Roman" w:hAnsi="Times New Roman"/>
          <w:sz w:val="12"/>
          <w:szCs w:val="12"/>
          <w:color w:val="auto"/>
        </w:rPr>
        <w:t>Our backlog presently includes cost reimbursable, time-and-materials, and firm-fixed-price contracts. Our earnings and margins may vary depending on the relative mix of contract types, the costs incurred in their performance, the achievement of other performance objectives and the stage of performance at which the right to receive fees, particularly under incentive and award fee contracts, is finally determined.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employees, or those of our teaming partners, may engage in misconduct or other improper activities which could harm our business.</w:t>
      </w:r>
    </w:p>
    <w:p>
      <w:pPr>
        <w:spacing w:after="0" w:line="12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are exposed to risk from misconduct or fraud by our employees, or employees of our teaming partners. Such violations could include intentional disregard for Federal government procurement regulations, engaging in unauthorized activities, seeking reimbursement for improper expenses, or falsifying time records.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25" w:right="319" w:bottom="1440" w:gutter="0" w:footer="0" w:header="0"/>
        </w:sectPr>
      </w:pPr>
    </w:p>
    <w:bookmarkStart w:id="13" w:name="page14"/>
    <w:bookmarkEnd w:id="13"/>
    <w:p>
      <w:pPr>
        <w:spacing w:after="0" w:line="249" w:lineRule="auto"/>
        <w:rPr>
          <w:sz w:val="20"/>
          <w:szCs w:val="20"/>
          <w:color w:val="auto"/>
        </w:rPr>
      </w:pPr>
      <w:r>
        <w:rPr>
          <w:rFonts w:ascii="Times New Roman" w:cs="Times New Roman" w:eastAsia="Times New Roman" w:hAnsi="Times New Roman"/>
          <w:sz w:val="14"/>
          <w:szCs w:val="14"/>
          <w:color w:val="auto"/>
        </w:rPr>
        <w:t>misconduct could also involve the improper use of our clients' sensitive or classified information and result in serious harm to our reputation. While we have appropriate policies in effect to deter illegal activities and promote proper conduct, it is not always possible to deter employee misconduct. Precautions to prevent and detect this activity may not be effective in controlling such risks or losses. As a result of employee misconduct, we could face fines and penalties, loss of security clearance and suspension or debarment from contracting with the Federal government, which could materially and adversely affect our business, results of operations, financial condition, cash flows, and liquidity.</w:t>
      </w:r>
    </w:p>
    <w:p>
      <w:pPr>
        <w:spacing w:after="0" w:line="10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If our subcontractors do not perform their contractual obligations, our performance as a prime contractor and our ability to obtain future business could be materially and adversely impacted and our actual results could differ materially and adversely from those anticipated.</w:t>
      </w:r>
    </w:p>
    <w:p>
      <w:pPr>
        <w:spacing w:after="0" w:line="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Our performance of government contracts may involve the issuance of subcontracts to other companies upon which we rely to perform all or a portion of the work we are obligated to deliver to our customers. Unsatisfactory performance by one or more of our subcontractors to deliver on a timely basis the agreed-upon supplies, perform the agreed-upon services, or appropriately manage their vendors may materially and adversely impact our ability to perform our obligations as a prime contractor. A subcontractor’s performance deficiency could result in the government terminating our contract for default. A default termination could expose us to liability for excess costs of reprocurement by the government and have a material adverse effect on our ability to compete for future contracts and task orders. Depending upon the level of problem experienced, such problems with subcontractors could cause our actual results to differ materially and adversely from those anticipated.</w:t>
      </w:r>
    </w:p>
    <w:p>
      <w:pPr>
        <w:spacing w:after="0" w:line="10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federal government’s appropriation process and other factors may delay the collection of our receivables, and our business may be adversely affected if we cannot collect our receivables in a timely manner.</w:t>
      </w:r>
    </w:p>
    <w:p>
      <w:pPr>
        <w:spacing w:after="0" w:line="9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depend on the collection of our receivables to generate cash flow, provide working capital, pay debt and continue our business operations. If the Federal government or any prime contractor for whom we are a subcontractor fails to pay or delays the payment of their outstanding invoices for any reason, our business and financial condition may be materially and adversely affected. The government may fail to pay outstanding invoices for a number of reasons, including lack of appropriated funds or lack of an approved budget. Contracting officers have the authority to impose contractual withholdings, which can also adversely affect our ability to collect timely. If we experience difficulties collecting receivables, it could cause our actual results to differ materially and adversely from those anticipated. In addition, from time to time, when we are awarded a contract, we incur significant expenses before we receive any contract payments. These expenses include leasing and outfitting office space, purchasing office equipment, and hiring personnel. In other situations, contract terms provide for billing upon achievement of specified project milestones. As a result, in these situations, we are required to expend significant sums of money before receiving related contract payments. In addition, payments due to us from government agencies may be delayed due to billing cycles or as a result of failures by the government to approve governmental budgets in a timely manner. In addition to these factors, poor execution on project startups could impact us by increasing our use of cash. In certain circumstances, we may defer recognition of costs incurred at the inception of a contract. Such action assumes that we will be able to recover these costs over the life of the contract. To the extent that a project does not perform as anticipated, these deferred costs may not be considered recoverable resulting in an impairment charge.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our cost-management strategies are unsuccessful, and we may not be able to improve our profitability.</w:t>
      </w:r>
    </w:p>
    <w:p>
      <w:pPr>
        <w:spacing w:after="0" w:line="128"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2"/>
          <w:szCs w:val="12"/>
          <w:color w:val="auto"/>
        </w:rPr>
        <w:t>Our ability to improve or maintain our profitability is dependent on our being able to successfully manage our costs, including taking actions to reduce certain costs and optimize our business. Our cost management strategies include maintaining appropriate alignment between the demand for our services and solutions and the workforce needed to deliver them. If we are not effective in managing our operating costs in response to changes in demand or pricing, or if we are unable to cost-effectively hire and retain people with the knowledge and skills necessary to deliver our services and solutions we may incur increased costs, which could reduce our ability to continue to invest in our business in an amount necessary to achieve our planned rates of growth and our desired levels of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60"/>
          </w:cols>
          <w:pgMar w:left="300" w:top="1225" w:right="339" w:bottom="1440" w:gutter="0" w:footer="0" w:header="0"/>
        </w:sectPr>
      </w:pPr>
    </w:p>
    <w:bookmarkStart w:id="14" w:name="page15"/>
    <w:bookmarkEnd w:id="14"/>
    <w:p>
      <w:pPr>
        <w:ind w:right="38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If we do not accurately anticipate the cost, risk and complexity of performing our work or if third parties upon whom we rely do not meet their commitments, then our contracts could have delivery inefficiencies and be less profitable than expected or unprofitable.</w:t>
      </w:r>
    </w:p>
    <w:p>
      <w:pPr>
        <w:spacing w:after="0" w:line="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contract profitability is highly dependent on our forecasts regarding the effort and cost necessary to deliver our services and solutions, which are based on available data and could turn out to be materially inaccurate. If we do not accurately estimate the effort, costs or timing for meeting our contractual commitments and/or completing engagements to a client’s satisfaction, our contracts could yield lower profit margins than planned or be unprofitable. In addition, many of the contracts we perform under require that we utilize subcontractors or that our services and solutions incorporate or coordinate with the software, systems or infrastructure requirements of other vendors and service providers. Our profitability depends on the ability of these subcontractors, vendors and service providers to deliver their products and services in a timely manner, at the anticipated cost, and in accordance with the project requirements, as well as on our effective oversight of their performance. In some cases, these subcontractors are small firms, and they might not have the resources or experience to successfully integrate their services or products with large-scale engagements or enterprises. Some of this work involves new technologies, which may not work as intended or provide anticipated productivity gains, or may take more effort to implement than initially predicted. Any of these factors could adversely affect our ability to perform and subject us to additional liabilities, which could have a material adverse effect on our relationships with clients and on our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Information Technology Systems and 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highly dependent on the proper functioning of our information systems.</w:t>
      </w:r>
    </w:p>
    <w:p>
      <w:pPr>
        <w:spacing w:after="0" w:line="12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2"/>
          <w:szCs w:val="12"/>
          <w:color w:val="auto"/>
        </w:rPr>
        <w:t>We are highly dependent on the proper functioning of our information systems in operating our business. Critical information systems used in daily operations match employee resources and customer assignments and track regulatory credentialing. They also perform payroll, billing and accounts receivable functions. As the breadth and complexity of this infrastructure continues to grow, including as a result of the increasing reliance on, and use of, mobile technologies, social media and cloud-based services, as more of our employees continue to work remotely, and as cyberattacks become increasingly sophisticated (e.g. deepfakes and AI generated social engineering), the risk of security incidents and cyberattacks has increased. Threat actors may leverage emerging AI technologies to develop new hacking tools and attack vectors, exploit vulnerabilities, obscure their activities, and increase the difficulty of threat attribution. Such incidents could lead to shutdowns or disruptions of or damage to our systems and those of our clients, business partners and vendors, and unauthorized disclosure of sensitive or confidential information, including personal data and proprietary business information. Both our client and our company may experience, data security incidents resulting from unauthorized access to our and our service providers’ systems and unauthorized acquisition of our data and our clients’ data including: inadvertent disclosure, misconfiguration of systems, phishing ransomware or malware attacks. While we have multiple back up plans for these types of contingencies, our information systems are vulnerable to fire, storms, flood, power loss, telecommunication outages, physical break-ins, cyber-attack, ransomware, and similar events. If our information systems become inoperable, or are otherwise unavailable, these functions would have to be accomplished manually, which in turn could impact our financial viability, due to the increased cost associated with performing these functions manually. Unauthorized disclosure or use of, denial of access to, or other incidents involving sensitive or confidential client, vendor, business partner or DLH data, whether through systems failure, employee negligence, fraud, misappropriation, or cybersecurity, ransomware or malware attacks, or other intentional or unintentional acts, could damage our reputation and our competitive positioning in the marketplace, disrupt our or our clients’ business, cause us to lose clients and result in significant financial exposure and legal liability. Cybersecurity threats are constantly expanding and evolving, becoming increasingly sophisticated and complex, increasing the difficulty of detecting and defending against them and maintaining effective security measures and protocols.</w:t>
      </w:r>
    </w:p>
    <w:p>
      <w:pPr>
        <w:spacing w:after="0" w:line="24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Our systems and networks may be subject to cybersecurity breaches, data privacy failures, or other security incidents that could harm our reputation, expose us to liability, and adversely affect our business.</w:t>
      </w:r>
    </w:p>
    <w:p>
      <w:pPr>
        <w:spacing w:after="0" w:line="9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Many of our operations rely heavily upon technology systems and networks to receive, input, maintain and communicate participant and customer data pertaining to the programs we manage. While we have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21" w:right="319" w:bottom="1440" w:gutter="0" w:footer="0" w:header="0"/>
        </w:sectPr>
      </w:pPr>
    </w:p>
    <w:bookmarkStart w:id="15" w:name="page16"/>
    <w:bookmarkEnd w:id="15"/>
    <w:p>
      <w:pPr>
        <w:spacing w:after="0" w:line="290" w:lineRule="auto"/>
        <w:rPr>
          <w:sz w:val="20"/>
          <w:szCs w:val="20"/>
          <w:color w:val="auto"/>
        </w:rPr>
      </w:pPr>
      <w:r>
        <w:rPr>
          <w:rFonts w:ascii="Times New Roman" w:cs="Times New Roman" w:eastAsia="Times New Roman" w:hAnsi="Times New Roman"/>
          <w:sz w:val="12"/>
          <w:szCs w:val="12"/>
          <w:color w:val="auto"/>
        </w:rPr>
        <w:t>designed to protect such information and comply with all relevant privacy and security requirements, the threats that our clients face have grown more frequent and sophisticated. Any systems failures, whether caused by us, a third-party service provider, or unauthorized intruders and hackers, or due to situations such as computer viruses, natural disasters, or power shortages, could cause loss of data or interruptions or delays in our business or that of our customers. If our systems or networks were compromised by a security breach, we could be adversely affected by losing confidential or protected information of program participants and customers, and we could suffer reputational damage and a loss of confidence from prospective and existing customers. Similarly, if our internal networks were compromised, we could be adversely affected by the loss of proprietary, trade secret or confidential technical and financial data. The loss, theft or improper disclosure of that information could subject the Company to sanctions under the relevant laws, remediation costs, contract termination, lawsuits from affected individuals, negative press articles and a loss of confidence from our government customers, all of which could adversely affect our existing business, future opportunities and financial condition. Further, our property and cyber insurance may be inadequate to compensate us for all losses that may occur as a result of any system or operational failure or disruption and, as a result, our actual results could differ materially and adversely from those anticipated. In addition, in order to provide services to our customers, we often depend upon or use customer systems that are supported by the customer or third parties. Any security breach or system failure in such systems could result in an interruption of our customer’s operations which could cause us to experience significant delays under a contract, and a material adverse effect on our results of operations.</w:t>
      </w:r>
    </w:p>
    <w:p>
      <w:pPr>
        <w:spacing w:after="0" w:line="24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Additionally, a number of projects require us to receive, maintain and transmit protected health information or other types of confidential personal information. That information may be regulated by the Health Insurance Portability and Accountability Act ("HIPAA"), the Health Information Technology for Economic and Clinical Health Act of 2009, Internal Revenue Service regulations and other laws. The loss, theft or improper disclosure of that information could subject us to sanctions under these laws, breach of contract claims, lawsuits from affected individuals, negative press articles and a loss of confidence from our government customers, all of which could adversely affect our existing business, future opportunities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adequately protect, maintain, or enforce our rights in our intellectual property may adversely limit our competitive position.</w:t>
      </w:r>
    </w:p>
    <w:p>
      <w:pPr>
        <w:spacing w:after="0" w:line="128"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2"/>
          <w:szCs w:val="12"/>
          <w:color w:val="auto"/>
        </w:rPr>
        <w:t>We rely upon a combination of nondisclosure agreements and other contractual arrangements, as well as copyright, trademark,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trademarks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79"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2"/>
          <w:szCs w:val="12"/>
          <w:color w:val="auto"/>
        </w:rPr>
        <w:t>We may face from time to time, allegations that we or a supplier or customer have violated the intellectual property rights of third parties.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 Any infringement, misappropriation or related claims, whether or not meritorious, are time consuming, divert technical and management personnel, and are costly to resolve. As a result of any such dispute, we may have to develop non-infringing intellectual property, pay damages, enter into royalty or licensing agreements, cease utilizing certain products or services, or take other actions to resolve the claims. These actions, if required, may be costly or unavailable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00"/>
          </w:cols>
          <w:pgMar w:left="300" w:top="1225"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Risks Relating to Acquisitions</w:t>
      </w:r>
    </w:p>
    <w:p>
      <w:pPr>
        <w:spacing w:after="0" w:line="124"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In connection with acquisitions, we may be required to take write-downs or write-offs, restructuring and impairment, or other charges that could negatively affect our business, assets, liabilities, prospects, outlook, financial condition, and results of operations.</w:t>
      </w:r>
    </w:p>
    <w:p>
      <w:pPr>
        <w:spacing w:after="0" w:line="9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Although we conduct extensive due diligence in connection with an acquisition, we cannot assure that this diligence revealed all material issues that may be present, that it would be possible to uncover all material issues through customary due diligence, or that factors outside of our control will not later arise. We have also purchased representations and warranties insurance in connection with the acquisition, but there is no assurance that those policies will cover any losses we might experience from breaches of the sellers’ representations and warranties or otherwise arising from the acquisition. Even if our due diligence successfully identifies certain risks, unexpected risks may arise and previously known risks may materialize in a manner not consistent with our preliminary risk analysis. Further, as a result of the acquisition, purchase accounting, and the operation of the combined company after closing, we may be required to take write-offs or write-downs, restructuring and impairment or other charges that could negatively affect business, assets, liabilities, prospects, outlook,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identifying and executing other acquisitions on favorable terms and therefore may grow at slower than anticipated rates.</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One of our potential paths to growth is to selectively pursue acquisitions. Through acquisitions, we may be able to expand our base of customers, increase the range of solutions we offer to our customers and deepen our penetration of existing markets and customers. We may be unable to identify or complete attractive strategic transactions for many reasons, including competition from other acquirers, and high valuations of potential targets. Even when we identify suitable candidates and reach agreement on terms, regulatory approvals, antitrust reviews, and other legal or contractual restrictions may delay or prevent completion. To the extent that management is involved in identifying acquisition opportunities or integrating new acquisitions into our business, our management may be diverted from operating our core business. Without acquisitions, we may not grow as rapidly otherwise, which could cause our actual results to differ materially and adversely from those anticipated.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encounter other risks in regard to making acquisitions, including:</w:t>
      </w:r>
    </w:p>
    <w:p>
      <w:pPr>
        <w:spacing w:after="0" w:line="124" w:lineRule="exact"/>
        <w:rPr>
          <w:sz w:val="20"/>
          <w:szCs w:val="20"/>
          <w:color w:val="auto"/>
        </w:rPr>
      </w:pPr>
    </w:p>
    <w:p>
      <w:pPr>
        <w:ind w:left="480" w:hanging="235"/>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for acquisitions may increase the costs of our acquisitions;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expenses, delays, or conditions imposed in connection with regulatory or contractual approvals;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retaining key employees, business partners, or customers of an acquired company;</w:t>
      </w:r>
    </w:p>
    <w:p>
      <w:pPr>
        <w:spacing w:after="0" w:line="123" w:lineRule="exact"/>
        <w:rPr>
          <w:rFonts w:ascii="Times New Roman" w:cs="Times New Roman" w:eastAsia="Times New Roman" w:hAnsi="Times New Roman"/>
          <w:sz w:val="14"/>
          <w:szCs w:val="14"/>
          <w:color w:val="auto"/>
        </w:rPr>
      </w:pPr>
    </w:p>
    <w:p>
      <w:pPr>
        <w:ind w:left="480" w:right="500" w:hanging="235"/>
        <w:spacing w:after="0" w:line="263" w:lineRule="auto"/>
        <w:tabs>
          <w:tab w:leader="none" w:pos="4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non-discovery or non-disclosure of material liabilities during the due diligence process, including omissions by prior owners of any acquired businesses or their employees in complying with applicable laws or regulations, or their inability to fulfill their contractual obligations to the federal government or other customers; and</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financing may not be available on reasonable terms or at all.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risks could cause our actual results to differ materially and adversely from those anticipated.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integrating the operations of companies we acquire, which could cause actual results to differ materially and adversely from those anticipated.</w:t>
      </w:r>
    </w:p>
    <w:p>
      <w:pPr>
        <w:spacing w:after="0" w:line="128"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4"/>
          <w:szCs w:val="14"/>
          <w:color w:val="auto"/>
        </w:rPr>
        <w:t>The success of a potential future acquisition strategy depends upon our ability to successfully integrate the businesses. We may have difficulty integrating a business that we may acquire in the future. The integration of a business into our operations may result in unforeseen operating difficulties, absorb significant management attention and require significant financial resources that would otherwise be available for the ongoing development of our business. These integration difficulties include the integration of personnel with disparate business backgrounds, the transition to new information systems, coordination of geographically dispersed organizations, loss of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221" w:right="319" w:bottom="1440" w:gutter="0" w:footer="0" w:header="0"/>
        </w:sectPr>
      </w:pPr>
    </w:p>
    <w:bookmarkStart w:id="17" w:name="page18"/>
    <w:bookmarkEnd w:id="17"/>
    <w:p>
      <w:pPr>
        <w:ind w:right="40"/>
        <w:spacing w:after="0" w:line="247" w:lineRule="auto"/>
        <w:rPr>
          <w:sz w:val="20"/>
          <w:szCs w:val="20"/>
          <w:color w:val="auto"/>
        </w:rPr>
      </w:pPr>
      <w:r>
        <w:rPr>
          <w:rFonts w:ascii="Times New Roman" w:cs="Times New Roman" w:eastAsia="Times New Roman" w:hAnsi="Times New Roman"/>
          <w:sz w:val="14"/>
          <w:szCs w:val="14"/>
          <w:color w:val="auto"/>
        </w:rPr>
        <w:t>employees of acquired companies, and reconciliation of different corporate cultures. Further, the integration process could take longer than anticipated and could result in the loss of key employees, the disruption of each company’s ongoing businesses, result in tax costs or inefficiencies, or inconsistencies in standards, controls, information technology systems, procedures and policies, any of which could materially adversely affect our ability to maintain relationships with customers, employees or other third parties, or our ability to achieve the anticipated benefits of the transactions, and could harm our financial performance. For these or other reasons, we may be unable to retain key customers of acquired companies. Moreover, any acquired business may not generate the revenue or net income we expected or produce the efficiencies or cost-savings we anticipated. Any of these outcomes could cause our actual results to differ materially and adversely from those anticipated.</w:t>
      </w:r>
    </w:p>
    <w:p>
      <w:pPr>
        <w:spacing w:after="0" w:line="107"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4"/>
          <w:szCs w:val="14"/>
          <w:color w:val="auto"/>
        </w:rPr>
        <w:t>If we are ultimately unable to successfully or efficiently integrate our operations with those of the acquired business, we may incur unanticipated liabilities and be unable to realize the revenue growth, synergies, and other anticipated benefits resulting from the acquisition, and our business, results of operations, and financial condition could be materially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goodwill on our balance sheet. Future write-offs of goodwill may have the effect of decreasing our earnings or increasing our losses.</w:t>
      </w:r>
    </w:p>
    <w:p>
      <w:pPr>
        <w:spacing w:after="0" w:line="128"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4"/>
          <w:szCs w:val="14"/>
          <w:color w:val="auto"/>
        </w:rPr>
        <w:t>We have obtained growth through acquisitions of other companies and businesses. Under existing accounting standards, we are required to periodically review goodwill for possible impairment. The impairment test is based on several factors requiring judgment. Generally, a decrease in expected cash flows or changes in market conditions may indicate potential impairment of goodwill. If there is an impairment, we would be required to write down the amount of goodwill, which may materially and adversely affect our earnings.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Outstanding Indebtedness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debt in connection with acquisitions and we must make the scheduled principal and interest payments on the facility and maintain compliance with other debt covenants.</w:t>
      </w:r>
    </w:p>
    <w:p>
      <w:pPr>
        <w:spacing w:after="0" w:line="1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Following our acquisition of DLH, LLC (formerly, Grove Resource Solutions, LLC) in December 2022, we amended and restated our credit agreement with First National Bank of Pennsylvania and certain other lenders and incurred additional indebtedness. We amended our credit agreement (as amended, the “Credit Agreement”) in November 2024 to modify the financial covenants and adjust the borrowing capacity of the revolving credit facility. The Credit Agreement requires compliance with a number of financial covenants and contains restrictions on our ability to engage in certain transactions, including limitations on: granting liens; incurring other indebtedness; disposing assets; making investments in other entities; and completing other mergers and consolidations. Also, the Credit Agreement requires us to comply with certain financial covenants including a minimum fixed charge coverage ratio and a maximum total leverage ratio. In addition, the Credit Agreement also requires prepayments of a percentage of excess cash flow. Accordingly, a portion of our cash flow from operations was dedicated to the repayment of our indebtedness and we expect future cash flow to be used to reduce our indebtedness. The Credit Agreement provides for customary events of default, including, among other things, a payment default, covenant default or defaults on other indebtedness or judgments in excess of a stipulated amount, change of control events, suspension or disbarment from contracting with the federal government and the material inaccuracy of our representations and warranties. If we are unable to make the scheduled principal and interest payments on the Credit Agreement or maintain compliance with other debt covenants, we may be in default under the Credit Agreement, which if not waived, could cause our debt to become immediately due and payable and enable the lenders to enforce their rights under the Credit Agreement. Such an event would likely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increased indebtedness could adversely affect us in a number of other ways, including:</w:t>
      </w:r>
    </w:p>
    <w:p>
      <w:pPr>
        <w:spacing w:after="0" w:line="124" w:lineRule="exact"/>
        <w:rPr>
          <w:sz w:val="20"/>
          <w:szCs w:val="20"/>
          <w:color w:val="auto"/>
        </w:rPr>
      </w:pPr>
    </w:p>
    <w:p>
      <w:pPr>
        <w:ind w:left="480" w:hanging="235"/>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us to be less able to take advantage of business opportunities, such as other acquisition opportunities, and to react to changes in market or industry conditions;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industry, or competitive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225" w:right="319" w:bottom="1440" w:gutter="0" w:footer="0" w:header="0"/>
        </w:sectPr>
      </w:pPr>
    </w:p>
    <w:bookmarkStart w:id="18" w:name="page19"/>
    <w:bookmarkEnd w:id="18"/>
    <w:p>
      <w:pPr>
        <w:ind w:left="480" w:hanging="235"/>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affecting our ability to pay or refinance debts as they become due during adverse economic, financial market, and industry conditions;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use a larger portion of cash flow for debt service, reducing funds available for other purposes;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decreasing our profitability and/or cash flow;</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us to be disadvantaged compared to competitors with less leverage;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funds in the future to fund working capital, capital expenditures, and other general corporate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Corporate Structure and Capital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volatile and your investment in our common stock may suffer a decline in value.</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The price of our common stock has been subject to fluctuations, has declined in value over the past fiscal year, and may further decline in the future due to risks defined herein, or due to factors beyond our control, including changes in market conditions such as increased interest rates, a recession, or a change in Federal spending priorities. Stock markets in general have experienced volatility that has often been unrelated to the operating performance of a particular company. These broad market fluctuations could adversely affect the trading price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Since we have not paid dividends on our common stock, you cannot expect dividend income from an investment in our common stock.</w:t>
      </w:r>
    </w:p>
    <w:p>
      <w:pPr>
        <w:spacing w:after="0" w:line="128"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4"/>
          <w:szCs w:val="14"/>
          <w:color w:val="auto"/>
        </w:rPr>
        <w:t>We have not paid any dividends on our common stock since our inception and do not contemplate or anticipate paying any dividends on our common stock in the foreseeable future. Current lenders do and future potential lenders may prohibit us from paying dividends without prior consent. Therefore, holders of our common stock may not receive any dividends on their investment in us. Earnings, if any, may be retained and used to finance the development and expansion of our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issue preferred stock with rights senior to our common stock, which may adversely impact the voting and other rights of the holders of our common stock.</w:t>
      </w:r>
    </w:p>
    <w:p>
      <w:pPr>
        <w:spacing w:after="0" w:line="12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“blank check” preferred stock with such designations, rights and preferences as may be determined from time to time by our board of directors up to an aggregate of 5,000,000 shares of preferred stock. Accordingly, our board of directors is empowered, without stockholder approval, to issue preferred stock with dividend, liquidation, conversion, voting or other rights, which would adversely affect the voting power or other rights of the holders of our common stock. In the event of issuance, the preferred stock could be utilized, under certain circumstances, as a method of discouraging, delaying or preventing a change in control of us, which could have the effect of discouraging bids for our Company and thereby prevent stockholders from receiving the maximum value for their shares. Although we have no present intention to issue any shares of our preferred stock, in order to discourage or delay a change of control of our Company, we may do so in the future. In addition, we may determine to issue preferred stock in connection with capital raising efforts and the terms of the stock so issued could have special voting rights or rights related to the composition of our Board.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exercise or vesting of our outstanding common stock options and restricted stock units may depress our stock price and dilute your ownership of the Company.</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To the extent that options are exercised or restricted stock units vest, dilution to our shareholders will occur. We cannot foresee the impact of any potential sales of our common shares on the market, but it is possible that if a significant percentage of such available shares were attempted to be sold within a short period of time, the market for our shares would be adversely affected. It is also unclear whether or not the market for our common stock could absorb a large number of attempted sales in a short period of time. Moreover, the terms upon which we will be able to obtain additional equity capital may be adversely affected, since the holders of these securities can be expected to exercise them at a time when we would, in all likelihood, be able to obtain any needed capital on terms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225"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4"/>
          <w:szCs w:val="14"/>
          <w:color w:val="auto"/>
        </w:rPr>
        <w:t>favorable to us than the exercise terms provided by those securities. To the extent that these securities are exercised, dilution to our shareholders will occur. Moreover, the terms upon which we will be able to obtain additional equity capital may be adversely affected, since the holders of these securities can be expected to exercise them at a time when we would, in all likelihood, be able to obtain any needed capital on terms more favorable to us than the exercise terms provided by those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issuances of our common stock in the public markets, or the perception of such sales, could depress the trading price of our common stock.</w:t>
      </w:r>
    </w:p>
    <w:p>
      <w:pPr>
        <w:spacing w:after="0" w:line="128"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14"/>
          <w:szCs w:val="14"/>
          <w:color w:val="auto"/>
        </w:rPr>
        <w:t>The sale of a substantial number of shares of our common stock, or other securities convertible into or exchangeable or exercisable for our common stock, in the public markets, or the perception that such sales could occur, could depress the market price of our common stock and impair our ability to raise capital through the sale of additional equity securities. We may sell shares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our Articles of Incorporation make a change in control of our Company more difficult.</w:t>
      </w:r>
    </w:p>
    <w:p>
      <w:pPr>
        <w:spacing w:after="0" w:line="12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2"/>
          <w:szCs w:val="12"/>
          <w:color w:val="auto"/>
        </w:rPr>
        <w:t>The provisions of our Articles of Incorporation and the New Jersey Business Corporation Act, together or separately, could discourage potential acquisition proposals, delay or prevent a change in control and limit the price that certain investors might be willing to pay in the future for our common stock. Among other things, these provisions require certain super majority votes and establish certain advance notice procedures for nomination of candidates for election as directors and for shareholders' proposals to be considered at shareholders’ meetings. In addition, the New Jersey Business Corporation Act contains provisions that, under certain conditions, prohibit business combinations with 10% shareholders and any New Jersey corporation for a period of five years from the time of acquisition of shares by the 10% shareholder. The New Jersey Business Corporation Act also contains provisions that restrict certain business combinations and other transactions between a New Jersey corporation and 10% shareholders.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significant stockholders will be able to influence matters requiring stockholder approval.</w:t>
      </w:r>
    </w:p>
    <w:p>
      <w:pPr>
        <w:spacing w:after="0" w:line="12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2"/>
          <w:szCs w:val="12"/>
          <w:color w:val="auto"/>
        </w:rPr>
        <w:t>As of March 31, 2026, our executive officers, directors and largest shareholder (Wynnefield Capital, Inc. and its affiliates) own approximately 37.8% of our outstanding common stock. Within this amount, Wynnefield Capital, Inc. and its affiliates own approximately 25.4% of our outstanding common stock. This concentration of ownership may have the effect of delaying, preventing or deterring a change in control of the Company, could deprive our stockholders of an opportunity to receive a premium for their common stock as part of a sale or merger of our company and may negatively affect the market price of our common stock. These matters might include proxy contests, tender offers, mergers or other purchases of common stock that could give our stockholders the opportunity to realize a premium over the then-prevailing market price for shares of our common stock. In addition, a person associated with Wynnefield Capital, Inc. currently serves on our Board of Directors. As a result of this share ownership and relationships on our Board of Directors, our largest stockholder will be able to influence all affairs and actions of our company, including matters requiring stockholder approval such as the election of directors and approval of significant corporate transactions. The interests of our principal stockholders may differ from the interests of the other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Business Risks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revenues and operating results from period to period.</w:t>
      </w:r>
    </w:p>
    <w:p>
      <w:pPr>
        <w:spacing w:after="0" w:line="12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4"/>
          <w:szCs w:val="14"/>
          <w:color w:val="auto"/>
        </w:rPr>
        <w:t>Our revenue and operating results may fluctuate significantly and unpredictably in the future. We have expended, and will continue to expend, substantial resources to enhance our health services offerings and expansion into the Federal health market. We may incur growth expenses before new business revenue is realized, thus showing lower profitability in a particular period or consecutive periods. Other factors which may cause our cash flows and results of operations to vary from quarter to quarter include: the terms and progress of contracts;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60"/>
          </w:cols>
          <w:pgMar w:left="300" w:top="1225" w:right="339" w:bottom="1440" w:gutter="0" w:footer="0" w:header="0"/>
        </w:sectPr>
      </w:pPr>
    </w:p>
    <w:bookmarkStart w:id="20" w:name="page21"/>
    <w:bookmarkEnd w:id="20"/>
    <w:p>
      <w:pPr>
        <w:spacing w:after="0" w:line="292" w:lineRule="auto"/>
        <w:rPr>
          <w:sz w:val="20"/>
          <w:szCs w:val="20"/>
          <w:color w:val="auto"/>
        </w:rPr>
      </w:pPr>
      <w:r>
        <w:rPr>
          <w:rFonts w:ascii="Times New Roman" w:cs="Times New Roman" w:eastAsia="Times New Roman" w:hAnsi="Times New Roman"/>
          <w:sz w:val="12"/>
          <w:szCs w:val="12"/>
          <w:color w:val="auto"/>
        </w:rPr>
        <w:t>related to certain contracts which may be incurred in periods prior to revenue being recognized; the commencement, completion or termination of contracts during any particular quarter; the timing and terms of award contracts; and government budgetary delays or shortfalls. We may be unable to achieve desired levels of revenue growth due to circumstances that are beyond our control, as already expressed regarding competition, government budgets, and the procurement process in general. In particular, if the Federal government does not adopt, or delays adoption of, a budget for each fiscal year beginning on October 1, or fails to pass a continuing resolution, federal agencies may be forced to suspend our contracts and delay the award of new and follow-on contracts and orders due to a lack of funding. Also, some aspects of this work can be seasonal with regard to resources and funding and it is difficult to predict the timing of when those resources will be expended. Although we continue to manage our operating costs and expenses, there is no guarantee that we will significantly increase future revenue and profit in any particular future period. Revenue levels achieved from our customers, the mix of solutions that we offer and our performance on future contracts will affect our financial results. Further, changes in the volume of activity and the number of contracts commenced, completed or terminated during any quarter may cause significant variations in our cash flows and results of operations. Therefore, period-to-period comparisons of our operating results may not be a good indication of our future performance.</w:t>
      </w:r>
    </w:p>
    <w:p>
      <w:pPr>
        <w:spacing w:after="0" w:line="76"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An increase in the prices of goods and services could raise the costs associated with providing our services, diminish our ability to compete for new contracts or task orders and/or reduce customer buying power.</w:t>
      </w:r>
    </w:p>
    <w:p>
      <w:pPr>
        <w:spacing w:after="0" w:line="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We may experience an increase in the costs in our supply and labor markets due to global inflationary pressures and other various geopolitical factors. We generate a portion of our revenues through various fixed price and multi-year government contracts which anticipate moderate increases in costs over the term of the contract. With the current pace of inflation our standard approach to moderate annual price escalations in our bids for multi-year work may be insufficient to counter inflationary cost pressures. This could result in reduced profits, or even losses, as inflation increases, particularly for fixed priced contracts and our longer-term multi-year contracts. In the competitive environment in which we operate as a government contractor, the lack of pricing leverage and ability to renegotiate long-term, multi-year contracts, could reduce our profits, disrupt our business, or otherwise materially adversely affect our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profits and revenues could suffer if we are involved in legal proceedings, investigations, and disputes.</w:t>
      </w:r>
    </w:p>
    <w:p>
      <w:pPr>
        <w:spacing w:after="0" w:line="12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We are exposed to legal proceedings, investigations and disputes. In addition, in the ordinary course of our business we may become involved in legal disputes regarding personal injury or employee disputes. While we provide for these types of incidents through commercial third-party insurance carriers, we often defray these types of cost through higher deductibles. Any unfavorable legal ruling against us could result in substantial monetary damages by losing our deductible portion of carried insurance. We maintain insurance coverage as part of our overall legal and risk management strategy to lower our potential liabilities. If we sustain liabilities that exceed our insurance coverage or for which we are not insured, it could have a material adverse impact on our results of operations, cash flows and financial condition, including our profits, revenues and liquidity.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certain of our management personnel and do not maintain “key personnel” life insurance on our executive officers.</w:t>
      </w:r>
    </w:p>
    <w:p>
      <w:pPr>
        <w:spacing w:after="0" w:line="1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Our success to date has resulted in part from the significant contributions of our executive officers, who have been instrumental in shaping the strategic direction of the Company. We expect our executive officers to make important contributions to our success. From time to time, there may be changes in our executive management team resulting from the hiring or departure of executives, potentially disrupting our business. Currently, certain of our officers are under employment contracts. However, we do not maintain “key personnel” life insurance on any of our executive officers. Loss for any reason of the services of our key personnel could materially affect our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qualified personnel, our business may be negatively affected.</w:t>
      </w:r>
    </w:p>
    <w:p>
      <w:pPr>
        <w:spacing w:after="0" w:line="1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rely heavily on our ability to attract and retain qualified employees and other personnel who possess the skills, experience, and licenses necessary in order to provide our solutions for our assignments. Our business is materially dependent upon the continued availability of such qualified personnel. Our inability to secure qualified personnel would have a material adverse effect on our business. Competition for qualified employees is intense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225" w:right="319" w:bottom="1440" w:gutter="0" w:footer="0" w:header="0"/>
        </w:sectPr>
      </w:pPr>
    </w:p>
    <w:bookmarkStart w:id="21" w:name="page22"/>
    <w:bookmarkEnd w:id="21"/>
    <w:p>
      <w:pPr>
        <w:ind w:right="200"/>
        <w:spacing w:after="0" w:line="263" w:lineRule="auto"/>
        <w:rPr>
          <w:sz w:val="20"/>
          <w:szCs w:val="20"/>
          <w:color w:val="auto"/>
        </w:rPr>
      </w:pPr>
      <w:r>
        <w:rPr>
          <w:rFonts w:ascii="Times New Roman" w:cs="Times New Roman" w:eastAsia="Times New Roman" w:hAnsi="Times New Roman"/>
          <w:sz w:val="14"/>
          <w:szCs w:val="14"/>
          <w:color w:val="auto"/>
        </w:rPr>
        <w:t>the cost of attracting qualified personnel and providing them with attractive benefits packages may be higher than we anticipate and, as a result, if we are unable to pass these costs on to our customers, our profitability could decline. Moreover, if we are unable to attract and retain qualified personnel, the quality of our services may decline and, as a result, we could lose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fully covered by the insurance we procure and our business could be adversely impacted if we were not able to renew all of our insurance plans.</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Although we carry multiple lines of liability insurance (including coverage for medical malpractice and workers’ compensation), they may not be sufficient to cover the total cost of any judgments, settlements or costs relating to any present or future claims, suits or complaints. If we are unable to secure renewal of our insurance contracts or the renewal of such contracts with favorable rates and with competitive benefits, our business could be adversely affected. In addition, sufficient insurance may not be available to us in the future on satisfactory terms or at all. Further, the fact that the majority of our employees are located at customer locations increases our potential liability for negligence and professional malpractice and such liabilities may not become immediately apparent. Any increase in our costs of insurance will impact our profitability to the extent that we cannot offset these increases into our costs of services. If our insurance is not sufficient to cover any judgments, settlements or costs relating to any present or future claims, suits or complaints, our business, financial condition, results of operations and liquidity could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may be affected by increases in employee healthcare claims and insurance premiums, and workers’ compensation claims and insurance rates.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current workers’ compensation and medical plans are partially self-funded insurance programs. The Company currently pays base premiums plus actual losses incurred, not to exceed certain individual and aggregate stop-loss limits. In addition, health insurance premiums, and workers' compensation rates for the Company are in large part determined by our claims experience. These categories of expenditure comprise a significant portion of our direct costs. If we experience a large increase in claim activity, our direct expenditures, health insurance premiums, unemployment taxes or workers' compensation rates may increase. Although we employ internal and external risk management procedures in an attempt to manage our claims incidence and estimate claims expenses and structure our benefit contracts to provide as much cost stability as reasonably possible given the self-funded nature of our plans, we may not be able to prevent increases in claim activity, accurately estimate our claims expenses or pass the cost of such increases on to our clients. Since our ability to incorporate such increases into our fees to our clients is constrained by contractual arrangements with our clients, a delay could occur before such increases could be reflected in our fees, which may reduce our profit margin. As a result, such increases could have a material adverse effect on our financial condition, results of operations and liquidity.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U.S. tax laws may adversely affect our financial condition or results of operations and create the risk that we may need to adjust our accounting for these changes.</w:t>
      </w:r>
    </w:p>
    <w:p>
      <w:pPr>
        <w:spacing w:after="0" w:line="128"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2"/>
          <w:szCs w:val="12"/>
          <w:color w:val="auto"/>
        </w:rPr>
        <w:t>Changes in tax rates or exposure to additional tax liabilities or assessments could affect our profitability, and audits by tax authorities could lead to additional tax payments. Determining our tax provisions requires significant judgment, and many transactions and calculations involve the application of tax laws whose interpretation is uncertain. The accounting treatment of tax law changes is complex, and some changes may affect both current and future periods. Consistent SEC guidance, our consolidated financial statements reflect our estimates of the tax effects of the current tax laws and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increased costs and risks associated with complying with increasing and new regulation of corporate governance and disclosure standards.</w:t>
      </w:r>
    </w:p>
    <w:p>
      <w:pPr>
        <w:spacing w:after="0" w:line="12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4"/>
          <w:szCs w:val="14"/>
          <w:color w:val="auto"/>
        </w:rPr>
        <w:t>Since the implementation of the Sarbanes-Oxley Act of 2002, we spend a significant amount of management’s time and resources (both internal and external) to comply with changing laws, regulations and standards relating to corporate governance and public disclosures. This compliance requires management’s annual review and evaluation of our internal control systems. This process has caused us to engage outside advisory services and has resulted in additional accounting and legal expenses. We may encounter problems or delays in completing these reviews and evaluation and the implementation of improvements. If we are not able to timely comply with the requirements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12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forth in the Sarbanes-Oxley Act of 2002, we might be subject to sanctions or investigation by regulatory authorities. Any such action could materially adversely affect our business and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results of operations could in the future be materially adversely impacted by global, macroeconomic events, such health epidemics, pandemics and other outbreaks, and the response to contain it.</w:t>
      </w:r>
    </w:p>
    <w:p>
      <w:pPr>
        <w:spacing w:after="0" w:line="15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face various risks related to health epidemics, pandemics, and similar outbreaks. The occurrence of a pandemic and the mitigation efforts to control its spread would be expected to create significant volatility, uncertainty and economic disruption and adversely impact the U.S. and global economies. The extent to which future health epidemics or pandemics impacts our business, operations and financial results will depend on numerous factors that we may not be able to accurately predict or control, including: the duration and scope of the pandemic; governmental, business and individuals’ actions that have may be taken in response to such events, including our ability to fully perform on our contracts as a result of government actions; the impact on economic activity and actions taken in response; the effect on our customers and customer demand for our services and solutions; our ability to sell and provide our services and solutions; and any closures of our and our customers’ offices and facilities. Furthermore, the significant increase in remote working of our employees may exacerbate certain risks to our business, including an increased demand for information technology resources and the increased risk of malicious technology-related events, such as cyberattacks and phishing attacks. Any of these events could materially adversely affect our business, financial condition, results of operations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00" w:top="1225" w:right="3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include “forward-looking statements” within the meaning of Section 27A of the Securities Act of 1933, as amended, or the Securities Act, and Section 21E of the Exchange Act. These statements are based on current expectations, estimates, forecasts and projections about the industry in which we operate and the beliefs and assumptions of our management. Words such as “expects,” “anticipates,” “targets,” “goals,” “projects,” “intends,” “plans,” “believes,” “seeks,” “estimates,” “continues,” and “may” and variations of such words and similar expressions are intended to identify such forward-looking statements. In addition, any statements that refer to projections regarding our future financial performance; our anticipated growth and trends in our businesses; our capital needs and capital expenditures; competitive changes in the marketplace for our services; and other characterizations of future events or circumstances are forward-looking statements. These statements reflect our reasonable judgment with respect to future events and are subject to risks and uncertainties that could cause actual results to differ materially from those in the forward-looking statements. The factors listed under “Risk Factors” in this prospectus, any applicable prospectus supplement, and in any documents incorporated by reference into this prospectus as well as any cautionary language in this prospectus, provide examples of risks, uncertainties and events that may cause our actual results to differ materially from the expectations we describe in our forward-looking statements. Such risks and uncertainties include, among other things, risks and uncertainties related to:</w:t>
      </w:r>
    </w:p>
    <w:p>
      <w:pPr>
        <w:spacing w:after="0" w:line="107" w:lineRule="exact"/>
        <w:rPr>
          <w:sz w:val="20"/>
          <w:szCs w:val="20"/>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relationships with key government entities or prime contractors or joint venture partners, from whom our revenue is derived;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contracts with United States (“U.S.”) federal, state and local, and international governments, agencies and departments for the majority of our revenue;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government customers to terminate contracts on short notice, with or without cause;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future legislative or government budgetary changes or delays in the U.S. government contract procurement process or the award of contracts;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Congress or other governmental bodies to approve budgets and debt ceiling increases in a timely fashion and related reductions in government spending;</w:t>
      </w:r>
    </w:p>
    <w:p>
      <w:pPr>
        <w:spacing w:after="0" w:line="123" w:lineRule="exact"/>
        <w:rPr>
          <w:rFonts w:ascii="Times New Roman" w:cs="Times New Roman" w:eastAsia="Times New Roman" w:hAnsi="Times New Roman"/>
          <w:sz w:val="14"/>
          <w:szCs w:val="14"/>
          <w:color w:val="auto"/>
        </w:rPr>
      </w:pPr>
    </w:p>
    <w:p>
      <w:pPr>
        <w:ind w:left="480" w:right="260" w:hanging="235"/>
        <w:spacing w:after="0" w:line="263" w:lineRule="auto"/>
        <w:tabs>
          <w:tab w:leader="none" w:pos="4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the current presidential administration and Congress to agree on spending priorities, which may result in temporary shutdowns of non-essential federal functions, including our work to support such functions;</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federal government budgeting and spending priorities;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a substantial amount of debt with increased interest expense and amortization demands, compliance with bank financial and other covenants;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integrating acquired businesses and achieving the anticipated benefits of acquisitions;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challenges of managing larger and more widespread operations and risks form expanding our service offerings and client base;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reviews or audits, which might result in financial penalties and reduce our ability to respond to invitations for new work;</w:t>
      </w:r>
    </w:p>
    <w:p>
      <w:pPr>
        <w:spacing w:after="0" w:line="123" w:lineRule="exact"/>
        <w:rPr>
          <w:rFonts w:ascii="Times New Roman" w:cs="Times New Roman" w:eastAsia="Times New Roman" w:hAnsi="Times New Roman"/>
          <w:sz w:val="14"/>
          <w:szCs w:val="14"/>
          <w:color w:val="auto"/>
        </w:rPr>
      </w:pPr>
    </w:p>
    <w:p>
      <w:pPr>
        <w:ind w:left="480" w:right="340" w:hanging="235"/>
        <w:spacing w:after="0" w:line="263" w:lineRule="auto"/>
        <w:tabs>
          <w:tab w:leader="none" w:pos="4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contract procurement (such as bid protest, small business set asides, loss of work due to organizational conflicts of interest, etc.) risks, including in connection with re-competes for present business;</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to comply with laws governing our business, which might result in fines, penalties and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00" w:top="1221" w:right="359" w:bottom="1440" w:gutter="0" w:footer="0" w:header="0"/>
        </w:sectPr>
      </w:pPr>
    </w:p>
    <w:bookmarkStart w:id="24" w:name="page25"/>
    <w:bookmarkEnd w:id="24"/>
    <w:p>
      <w:pPr>
        <w:ind w:left="480" w:hanging="235"/>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bid for and accurately price contracts to generate our desired profit;</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realize the full amount of our backlog;</w:t>
      </w:r>
    </w:p>
    <w:p>
      <w:pPr>
        <w:spacing w:after="0" w:line="123" w:lineRule="exact"/>
        <w:rPr>
          <w:rFonts w:ascii="Times New Roman" w:cs="Times New Roman" w:eastAsia="Times New Roman" w:hAnsi="Times New Roman"/>
          <w:sz w:val="14"/>
          <w:szCs w:val="14"/>
          <w:color w:val="auto"/>
        </w:rPr>
      </w:pPr>
    </w:p>
    <w:p>
      <w:pPr>
        <w:ind w:left="480" w:right="180" w:hanging="235"/>
        <w:spacing w:after="0" w:line="263" w:lineRule="auto"/>
        <w:tabs>
          <w:tab w:leader="none" w:pos="47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future pandemics, and related national, state and local government actions and reactions, on the health of our staff and that of our clients, the continuity of our and our clients’ operations, our results of operations and our outlook;</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capital investments and up-front costs incurred before we receive related payments;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technology systems and otherwise protect confidential or protected information;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including those discussed in “Risk Factors” in this prospectus and incorporated by reference into this prospectus.</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You should carefully read this prospectus, any applicable prospectus supplement, together with the information incorporated herein by reference as described under the section entitled “Where You Can Find Additional Information,” before you invest in our securities. You should be aware that the occurrence of the events described in these risk factors and elsewhere in this prospectus and in any applicable prospectus supplement under the heading “Risk Factors,” and in any documents incorporated by reference into this prospectus could have a material adverse effect on our business, results of operations and financial position. Any forward-looking statement made by us in this prospectus speaks only as of the date on which we make it. Factors or events that could cause our actual results to differ will emerge from time to time, and it is not possible for us to predict all of them. We undertake no obligation to update or revise publicly any forward-looking statements, whether as a result of new information, future events or otherwise, except as required by law. All forward-looking statements should be evaluated with the understanding of their inherent uncertainty. You are advised to consult any further disclosures we make on related subjects in the reports we file with the SEC pursuant to Sections 13(a), 13(c), 14, or 15(d)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25" w:right="31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2"/>
          <w:szCs w:val="12"/>
          <w:color w:val="auto"/>
        </w:rPr>
        <w:t>Unless otherwise specified in the applicable prospectus supplement, we intend to use the net proceeds from the sale of our securities offered by this prospectus for general corporate purposes, including, without limitation, the funding internal and/or collaborative sales, marketing and distribution expenditures, capital expenditures and working capital needs. We also may use a portion of the net proceeds received from the sale of securities pursuant to this prospectus to acquire other companies or businesses and the repayment or refinancing of our existing debt, although we currently have no agreements or commitments in this regard other than to service our existing debt. We have not determined the amount of net proceeds from sales of securities pursuant to this prospectus and any prospectus supplement that we will use for each of these purposes. Pending such uses, we may invest the net proceeds in short-term, investment-grade, interest-bearing securities or guaranteed obligations of the United States government or other securities. The principal purposes of this offering are to increase our operating and financial flexibility. As of the date of this prospectus, we cannot specify with certainty all of the particular uses for the net proceeds we will have upon completion of this offering. Accordingly, our management will have broad discretion in the application of net proceeds, if any. We may set forth additional information on the use of net proceeds from the sale of securities we offer under this prospectus in a prospectus supplement relating to the specific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00"/>
          </w:cols>
          <w:pgMar w:left="300" w:top="1221" w:right="39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sell from time to time, in one or more offerings:</w:t>
      </w:r>
    </w:p>
    <w:p>
      <w:pPr>
        <w:spacing w:after="0" w:line="124" w:lineRule="exact"/>
        <w:rPr>
          <w:sz w:val="20"/>
          <w:szCs w:val="20"/>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or preferred stock;</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purchase common stock or preferred stock;</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of securities; or</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 securities.</w:t>
      </w:r>
    </w:p>
    <w:p>
      <w:pPr>
        <w:spacing w:after="0" w:line="1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The securities offered under this prospectus may be offered separately, or as units, which may include combinations of the securities and in amounts, at prices and on terms to be determined at the time of sale. 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information in the prospectus supplement, where applicable, about material United States federal income tax considerations relating to the securities, and the securities exchange, if any, on which the securities will be listed. This prospectus may not be used to complete a sale of securities unless it is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221"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auto"/>
        </w:rPr>
        <w:t>The following description of our capital stock is a summary and is subject to and qualified by the applicable provisions of our certificate of incorporation, our bylaws and the relevant provisions of the law of the State of New Jersey.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are authorized to issue 40,000,000 shares of common stock, $0.001 par value per share. As of March 31, 2026, there were 14,493,035 shares of common stock outstanding. Our common stock is quoted on the Nasdaq Capital Market under the symbol “DLHC.” In addition, as of such date, we had issued and outstanding (a) options to purchase an aggregate of 1,175,000 shares of common stock and (b) 959,582 unvested restricted stock units. Holders of our common stock are entitled to one vote for each share held on all matters submitted to a vote of stockholders and do not have cumulative voting rights. Holders of common stock are entitled to receive ratably such dividends, if any, as may be declared by the board of directors out of funds legally available therefor. Upon the liquidation, dissolution or winding up of the company, the holders of common stock are entitled to receive ratably our net assets available after the payment of all debts and other liabilities and subject to the prior rights of any outstanding preferred stock. The outstanding shares of common stock are fully paid and non-assessable. The rights, preferences and privileges of holders of common stock are subject to, and may be adversely affected by the rights of the holders of any series of preferred stock which we may designate and issue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Transfer Agent and Registrar. </w:t>
      </w:r>
      <w:r>
        <w:rPr>
          <w:rFonts w:ascii="Times New Roman" w:cs="Times New Roman" w:eastAsia="Times New Roman" w:hAnsi="Times New Roman"/>
          <w:sz w:val="14"/>
          <w:szCs w:val="14"/>
          <w:color w:val="auto"/>
        </w:rPr>
        <w:t>Continental Stock Transfer &amp; Trust Company is the transfer agent and registrar for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authorized to issue 5,000,000 shares of preferred stock, par value $0.10 per share. Currently, there are no shares of preferred stock issued and outstanding.</w:t>
      </w:r>
    </w:p>
    <w:p>
      <w:pPr>
        <w:spacing w:after="0" w:line="12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We may issue authorized preferred stock in one or more series having the rights, privileges, and limitations, including voting rights, conversion rights, liquidation preferences, dividend rights and redemption rights, as may, from time to time, be determined by the board of directors. Preferred stock may be issued in the future in connection with acquisitions, financings, or other matters, as the board of directors deems appropriate. In the event that we determine to issue any shares of preferred stock, a certificate of designation containing the rights, privileges and limitations of this series of preferred stock will be filed with the Secretary of State of the State of New Jersey. The effect of this preferred stock designation power is that our board of directors alone, subject to Federal securities laws, applicable blue sky laws, and New Jersey law, may be able to authorize the issuance of preferred stock which could have the effect of delaying, deferring, or preventing a change in control without further action by our stockholders, and may adversely affect the voting and other rights of the holders of our common stock.</w:t>
      </w:r>
    </w:p>
    <w:p>
      <w:pPr>
        <w:spacing w:after="0" w:line="108"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4"/>
          <w:szCs w:val="14"/>
          <w:color w:val="auto"/>
        </w:rPr>
        <w:t>The rights, preferences, privileges and restrictions of the preferred stock of each series will be fixed by a certificate of designations relating to each series. The prospectus supplement relating to each series will specify the terms of the preferred stock, including</w:t>
      </w:r>
    </w:p>
    <w:p>
      <w:pPr>
        <w:spacing w:after="0" w:line="95" w:lineRule="exact"/>
        <w:rPr>
          <w:sz w:val="20"/>
          <w:szCs w:val="20"/>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in the series and the distinctive designation;</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on which dividends will be paid, if any;</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on which the shares may be redeemed, if at all;</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if any;</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retirement or sinking fund for the purchase or redemption of the shares of the series;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on which the shares of the series will be convertible into, or exchangeable for, shares of any other class or classes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221" w:right="319" w:bottom="1440" w:gutter="0" w:footer="0" w:header="0"/>
        </w:sectPr>
      </w:pPr>
    </w:p>
    <w:bookmarkStart w:id="28" w:name="page29"/>
    <w:bookmarkEnd w:id="28"/>
    <w:p>
      <w:pPr>
        <w:ind w:left="480" w:hanging="235"/>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on the shares of the series;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 all other preferences and relative, participating, operational or other special rights or qualifications, limitations or restrictions of the shares.</w:t>
      </w:r>
    </w:p>
    <w:p>
      <w:pPr>
        <w:spacing w:after="0" w:line="1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will describe the specific terms of a particular series of preferred stock in the prospectus supplement relating to that series. The prospectus supplement will also contain a description of U.S. federal income tax consequences relating to the preferred stock, if material.</w:t>
      </w:r>
    </w:p>
    <w:p>
      <w:pPr>
        <w:spacing w:after="0" w:line="95" w:lineRule="exact"/>
        <w:rPr>
          <w:sz w:val="20"/>
          <w:szCs w:val="20"/>
          <w:color w:val="auto"/>
        </w:rPr>
      </w:pPr>
    </w:p>
    <w:p>
      <w:pPr>
        <w:ind w:right="600"/>
        <w:spacing w:after="0" w:line="346" w:lineRule="auto"/>
        <w:rPr>
          <w:sz w:val="20"/>
          <w:szCs w:val="20"/>
          <w:color w:val="auto"/>
        </w:rPr>
      </w:pPr>
      <w:r>
        <w:rPr>
          <w:rFonts w:ascii="Times New Roman" w:cs="Times New Roman" w:eastAsia="Times New Roman" w:hAnsi="Times New Roman"/>
          <w:sz w:val="12"/>
          <w:szCs w:val="12"/>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Rank. </w:t>
      </w:r>
      <w:r>
        <w:rPr>
          <w:rFonts w:ascii="Times New Roman" w:cs="Times New Roman" w:eastAsia="Times New Roman" w:hAnsi="Times New Roman"/>
          <w:sz w:val="14"/>
          <w:szCs w:val="14"/>
          <w:color w:val="auto"/>
        </w:rPr>
        <w:t>Unless otherwise specified in the prospectus supplement, the preferred stock will, with respect to dividend rights and rights upon our liquidation, dissolution or winding up of our affairs, rank:</w:t>
      </w:r>
    </w:p>
    <w:p>
      <w:pPr>
        <w:spacing w:after="0" w:line="126" w:lineRule="exact"/>
        <w:rPr>
          <w:sz w:val="20"/>
          <w:szCs w:val="20"/>
          <w:color w:val="auto"/>
        </w:rPr>
      </w:pPr>
    </w:p>
    <w:p>
      <w:pPr>
        <w:ind w:left="480" w:hanging="235"/>
        <w:spacing w:after="0"/>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senior to our common stock and to all equity securities ranking junior to such preferred stock with respect to dividend rights or rights upon our liquidation, dissolution or winding up of our affairs;</w:t>
      </w:r>
    </w:p>
    <w:p>
      <w:pPr>
        <w:spacing w:after="0" w:line="146" w:lineRule="exact"/>
        <w:rPr>
          <w:rFonts w:ascii="Times New Roman" w:cs="Times New Roman" w:eastAsia="Times New Roman" w:hAnsi="Times New Roman"/>
          <w:sz w:val="12"/>
          <w:szCs w:val="12"/>
          <w:color w:val="auto"/>
        </w:rPr>
      </w:pPr>
    </w:p>
    <w:p>
      <w:pPr>
        <w:ind w:left="480" w:right="140" w:hanging="235"/>
        <w:spacing w:after="0" w:line="263" w:lineRule="auto"/>
        <w:tabs>
          <w:tab w:leader="none" w:pos="4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94" w:lineRule="exact"/>
        <w:rPr>
          <w:rFonts w:ascii="Times New Roman" w:cs="Times New Roman" w:eastAsia="Times New Roman" w:hAnsi="Times New Roman"/>
          <w:sz w:val="14"/>
          <w:szCs w:val="14"/>
          <w:color w:val="auto"/>
        </w:rPr>
      </w:pPr>
    </w:p>
    <w:p>
      <w:pPr>
        <w:ind w:left="480" w:right="400" w:hanging="235"/>
        <w:spacing w:after="0" w:line="263" w:lineRule="auto"/>
        <w:tabs>
          <w:tab w:leader="none" w:pos="4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“equity securities” does not include convertible debt securities.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the preferred stock of each series will be entitled to receive, when, as and if declared by our board of directors, cash dividends at such rates and on such dates described in the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0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0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03"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any voluntary or involuntary liquidation, dissolution or winding up of our affairs, then, before we make any distribution or payment to the holders of any common stock or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225" w:right="319" w:bottom="1440" w:gutter="0" w:footer="0" w:header="0"/>
        </w:sectPr>
      </w:pPr>
    </w:p>
    <w:bookmarkStart w:id="29" w:name="page30"/>
    <w:bookmarkEnd w:id="29"/>
    <w:p>
      <w:pPr>
        <w:spacing w:after="0" w:line="246" w:lineRule="auto"/>
        <w:rPr>
          <w:sz w:val="20"/>
          <w:szCs w:val="20"/>
          <w:color w:val="auto"/>
        </w:rPr>
      </w:pPr>
      <w:r>
        <w:rPr>
          <w:rFonts w:ascii="Times New Roman" w:cs="Times New Roman" w:eastAsia="Times New Roman" w:hAnsi="Times New Roman"/>
          <w:sz w:val="14"/>
          <w:szCs w:val="14"/>
          <w:color w:val="auto"/>
        </w:rPr>
        <w:t>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08"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4"/>
          <w:szCs w:val="14"/>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If so provided in the applicable prospectus supplement, the preferred stock will be subject to mandatory redemption or redemption at our option, as a whole or in part, in each case upon the terms,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the times and at the redemption prices set forth in such prospectus supplement.</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10" w:lineRule="exact"/>
        <w:rPr>
          <w:sz w:val="20"/>
          <w:szCs w:val="20"/>
          <w:color w:val="auto"/>
        </w:rPr>
      </w:pPr>
    </w:p>
    <w:p>
      <w:pPr>
        <w:ind w:left="480" w:right="60" w:hanging="235"/>
        <w:spacing w:after="0" w:line="263" w:lineRule="auto"/>
        <w:tabs>
          <w:tab w:leader="none" w:pos="4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the preferred stock for all past dividend periods and the then-current dividend period; or</w:t>
      </w:r>
    </w:p>
    <w:p>
      <w:pPr>
        <w:spacing w:after="0" w:line="94" w:lineRule="exact"/>
        <w:rPr>
          <w:rFonts w:ascii="Times New Roman" w:cs="Times New Roman" w:eastAsia="Times New Roman" w:hAnsi="Times New Roman"/>
          <w:sz w:val="14"/>
          <w:szCs w:val="14"/>
          <w:color w:val="auto"/>
        </w:rPr>
      </w:pPr>
    </w:p>
    <w:p>
      <w:pPr>
        <w:ind w:left="480" w:right="220" w:hanging="235"/>
        <w:spacing w:after="0" w:line="263" w:lineRule="auto"/>
        <w:tabs>
          <w:tab w:leader="none" w:pos="4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series of preferred stock does not have a cumulative dividend, we have declared and paid or contemporaneously declare and pay or set aside funds to pay full dividends for the then-current dividend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will not acquire any preferred stock of a series unless:</w:t>
      </w:r>
    </w:p>
    <w:p>
      <w:pPr>
        <w:spacing w:after="0" w:line="124" w:lineRule="exact"/>
        <w:rPr>
          <w:sz w:val="20"/>
          <w:szCs w:val="20"/>
          <w:color w:val="auto"/>
        </w:rPr>
      </w:pPr>
    </w:p>
    <w:p>
      <w:pPr>
        <w:ind w:left="480" w:right="280" w:hanging="235"/>
        <w:spacing w:after="0" w:line="263" w:lineRule="auto"/>
        <w:tabs>
          <w:tab w:leader="none" w:pos="47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then-current dividend period; or</w:t>
      </w:r>
    </w:p>
    <w:p>
      <w:pPr>
        <w:spacing w:after="0" w:line="94" w:lineRule="exact"/>
        <w:rPr>
          <w:rFonts w:ascii="Times New Roman" w:cs="Times New Roman" w:eastAsia="Times New Roman" w:hAnsi="Times New Roman"/>
          <w:sz w:val="14"/>
          <w:szCs w:val="14"/>
          <w:color w:val="auto"/>
        </w:rPr>
      </w:pPr>
    </w:p>
    <w:p>
      <w:pPr>
        <w:ind w:left="480" w:right="140" w:hanging="235"/>
        <w:spacing w:after="0" w:line="263" w:lineRule="auto"/>
        <w:tabs>
          <w:tab w:leader="none" w:pos="47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does not have a cumulative dividend, we have declared and paid or contemporaneously declare and pay or set aside funds to pay full dividends on the preferred stock of such series for the then-current dividend period.</w:t>
      </w:r>
    </w:p>
    <w:p>
      <w:pPr>
        <w:spacing w:after="0" w:line="9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225" w:right="319" w:bottom="1440" w:gutter="0" w:footer="0" w:header="0"/>
        </w:sectPr>
      </w:pPr>
    </w:p>
    <w:bookmarkStart w:id="30" w:name="page31"/>
    <w:bookmarkEnd w:id="30"/>
    <w:p>
      <w:pPr>
        <w:jc w:val="both"/>
        <w:ind w:right="80"/>
        <w:spacing w:after="0" w:line="252" w:lineRule="auto"/>
        <w:rPr>
          <w:sz w:val="20"/>
          <w:szCs w:val="20"/>
          <w:color w:val="auto"/>
        </w:rPr>
      </w:pPr>
      <w:r>
        <w:rPr>
          <w:rFonts w:ascii="Times New Roman" w:cs="Times New Roman" w:eastAsia="Times New Roman" w:hAnsi="Times New Roman"/>
          <w:sz w:val="14"/>
          <w:szCs w:val="14"/>
          <w:color w:val="auto"/>
        </w:rPr>
        <w:t>dividends and upon liquidation. 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95" w:lineRule="exact"/>
        <w:rPr>
          <w:sz w:val="20"/>
          <w:szCs w:val="20"/>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series of preferred stock to be redeemed;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certificates for such preferred stock are to be surrendered for payment of the redemption price;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dividends on the shares to be redeemed will cease to accrue on such redemption date;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holder’s conversion rights, if any, as to such shares shall terminate;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number of shares to be redeemed from each such holder if fewer than all the shares of any series are to be redeemed.</w:t>
      </w:r>
    </w:p>
    <w:p>
      <w:pPr>
        <w:spacing w:after="0" w:line="124"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4"/>
          <w:szCs w:val="14"/>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preferred stock will not have any voting rights, except as required by law or as indicated in the applicable prospectus supplement.</w:t>
      </w:r>
    </w:p>
    <w:p>
      <w:pPr>
        <w:spacing w:after="0" w:line="126" w:lineRule="exact"/>
        <w:rPr>
          <w:sz w:val="20"/>
          <w:szCs w:val="20"/>
          <w:color w:val="auto"/>
        </w:rPr>
      </w:pPr>
    </w:p>
    <w:p>
      <w:pPr>
        <w:ind w:right="140"/>
        <w:spacing w:after="0" w:line="314" w:lineRule="auto"/>
        <w:rPr>
          <w:sz w:val="20"/>
          <w:szCs w:val="20"/>
          <w:color w:val="auto"/>
        </w:rPr>
      </w:pPr>
      <w:r>
        <w:rPr>
          <w:rFonts w:ascii="Times New Roman" w:cs="Times New Roman" w:eastAsia="Times New Roman" w:hAnsi="Times New Roman"/>
          <w:sz w:val="12"/>
          <w:szCs w:val="12"/>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i w:val="1"/>
          <w:iCs w:val="1"/>
          <w:color w:val="auto"/>
        </w:rPr>
        <w:t>Conversion Rights</w:t>
      </w:r>
      <w:r>
        <w:rPr>
          <w:rFonts w:ascii="Times New Roman" w:cs="Times New Roman" w:eastAsia="Times New Roman" w:hAnsi="Times New Roman"/>
          <w:sz w:val="14"/>
          <w:szCs w:val="14"/>
          <w:color w:val="auto"/>
        </w:rPr>
        <w:t>. The terms and conditions, if any, upon which any series of preferred stock is convertible into our common stock will be set forth in the applicable prospectus supplement relating thereto.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The transfer agent and registrar for the preferred stock will be set forth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Certificate of Incorporation, Bylaws and of New Jersey Law</w:t>
      </w:r>
    </w:p>
    <w:p>
      <w:pPr>
        <w:spacing w:after="0" w:line="12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Certain provisions of our certificate of incorporation and bylaws and New Jersey law could make our acquisition by a third party, a change in our incumbent management, or a similar change of control more difficult. These provisions, which are summarized below, are likely to discourage certain types of coercive takeover practices and inadequate takeover bids. These provisions are also designed to encourage persons seeking to acquire control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00" w:top="1225" w:right="359" w:bottom="1440" w:gutter="0" w:footer="0" w:header="0"/>
        </w:sectPr>
      </w:pPr>
    </w:p>
    <w:bookmarkStart w:id="31" w:name="page32"/>
    <w:bookmarkEnd w:id="31"/>
    <w:p>
      <w:pPr>
        <w:spacing w:after="0" w:line="249" w:lineRule="auto"/>
        <w:rPr>
          <w:sz w:val="20"/>
          <w:szCs w:val="20"/>
          <w:color w:val="auto"/>
        </w:rPr>
      </w:pPr>
      <w:r>
        <w:rPr>
          <w:rFonts w:ascii="Times New Roman" w:cs="Times New Roman" w:eastAsia="Times New Roman" w:hAnsi="Times New Roman"/>
          <w:sz w:val="14"/>
          <w:szCs w:val="14"/>
          <w:color w:val="auto"/>
        </w:rPr>
        <w:t>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following summary of certain provisions of our certificate of incorporation and bylaws is not complete and is subject to, and qualified in its entirety by, our certificate of incorporation and bylaws, copies of which may be obtained as described under the heading “Where You Can Find More Information” in this prospectus.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Certificate of Incorporation and Bylaws</w:t>
      </w:r>
    </w:p>
    <w:p>
      <w:pPr>
        <w:spacing w:after="0" w:line="1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which could delay or prevent a third party from acquiring shares of our common stock or replacing members of our board of directors. Our certificate of incorporation allows our board of directors to issue shares of preferred stock. Our board of directors can determine the price, rights, preferences, and privileges of those shares without any further vote or action by the stockholders. As a result, our board of directors could make it difficult for a third party to acquire a majority of our outstanding voting stock. Since management is appointed by the board of directors, any inability to effect a change in the board of directors may result in the entrenchment of management. Our certificate of incorporation and bylaws do not provide for cumulative voting in the election of directors.</w:t>
      </w:r>
    </w:p>
    <w:p>
      <w:pPr>
        <w:spacing w:after="0" w:line="1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Further, our bylaws provide that the size of the board of directors shall be fixed as determined from time to time by the board. The directors are to be elected at the annual meeting of the stockholders and each director elected shall hold office until his or her successor is elected and qualified. Any director or the entire board of directors may be removed, either with or without cause, by the holders of a majority of shares entitled to vote at an election of directors. Subject to the rights of the holders of any series of preferred stock, any vacancies on our board may be filled by the affirmative vote of a majority of the directors then in office. Any additional directorships resulting from an increase in the number of directors may also be filled by the directors.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Our bylaws also provide that special meetings of our stockholders may be called only by the chairman of our board of directors or our President or pursuant to a resolution adopted by a majority of the total number of authorized directors. Our bylaws also include advance notice provisions in connection with stockholder proposals that may prevent or hinder any attempt by our stockholders to bring business to be considered by our stockholders at a meeting or replace our board of directors.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Jersey anti-takeover law</w:t>
      </w:r>
    </w:p>
    <w:p>
      <w:pPr>
        <w:spacing w:after="0" w:line="12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New Jersey law restricts the ability of certain persons to acquire control of a New Jersey corporation. In general, a corporation organized under the laws of New Jersey with its principal executive offices or significant business operations located in New Jersey (a “resident domestic corporation”) may not engage in a “business combination” with an “interested stockholder” for a period of five years following the interested stockholder’s becoming such unless the business combination is approved by the board of directors prior to the stock acquisition date or the transaction which caused the person to become an interested stockholder was approved by the board of directors prior to that stockholder’s stock acquisition date and any subsequent business combination is approved by disinterested directors and the affirmative vote of the holders of a majority of the voting stock not beneficially owned by the interested stockholder at a meeting called for such purpose. Covered business combinations include certain mergers, dispositions of assets, issuances or transfers of shares and recapitalizations. An interested stockholder is generally a shareholder owning at least 10% of the voting power of a corporation’s outstanding shares.</w:t>
      </w:r>
    </w:p>
    <w:p>
      <w:pPr>
        <w:spacing w:after="0" w:line="110" w:lineRule="exact"/>
        <w:rPr>
          <w:sz w:val="20"/>
          <w:szCs w:val="20"/>
          <w:color w:val="auto"/>
        </w:rPr>
      </w:pPr>
    </w:p>
    <w:p>
      <w:pPr>
        <w:ind w:right="640"/>
        <w:spacing w:after="0" w:line="263" w:lineRule="auto"/>
        <w:rPr>
          <w:sz w:val="20"/>
          <w:szCs w:val="20"/>
          <w:color w:val="auto"/>
        </w:rPr>
      </w:pPr>
      <w:r>
        <w:rPr>
          <w:rFonts w:ascii="Times New Roman" w:cs="Times New Roman" w:eastAsia="Times New Roman" w:hAnsi="Times New Roman"/>
          <w:sz w:val="14"/>
          <w:szCs w:val="14"/>
          <w:color w:val="auto"/>
        </w:rPr>
        <w:t>In addition, after the prohibition on business combinations during the first five years after a person becomes an interested stockholder, a resident domestic corporation may not engage in a business combination with the interested stockholder other than:</w:t>
      </w:r>
    </w:p>
    <w:p>
      <w:pPr>
        <w:spacing w:after="0" w:line="95" w:lineRule="exact"/>
        <w:rPr>
          <w:sz w:val="20"/>
          <w:szCs w:val="20"/>
          <w:color w:val="auto"/>
        </w:rPr>
      </w:pPr>
    </w:p>
    <w:p>
      <w:pPr>
        <w:ind w:left="480" w:hanging="235"/>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approved by the board prior to the interested stockholder’s stock acquisition date;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business combination approved by the affirmative vote of the holders of two-thirds of the voting stock not beneficially owned by such interested shareholder at a meeting called for such purpose;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60"/>
          </w:cols>
          <w:pgMar w:left="300" w:top="1225" w:right="339" w:bottom="1440" w:gutter="0" w:footer="0" w:header="0"/>
        </w:sectPr>
      </w:pPr>
    </w:p>
    <w:bookmarkStart w:id="32" w:name="page33"/>
    <w:bookmarkEnd w:id="32"/>
    <w:p>
      <w:pPr>
        <w:ind w:left="480" w:right="200" w:hanging="235"/>
        <w:spacing w:after="0" w:line="252" w:lineRule="auto"/>
        <w:tabs>
          <w:tab w:leader="none" w:pos="47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combination in which the interested shareholder pays a formula price designed to ensure that all other shareholders receive at least the highest price per share paid by such interested stockholder from the date the person became an interested stockholder and at least the market value per share of common stock on the date of the announcement of the business combination or the interested stockholder’s stock acquisition date less dividends. In general, a resident domestic corporation may not opt out of the foregoing provisions.</w:t>
      </w:r>
    </w:p>
    <w:p>
      <w:pPr>
        <w:spacing w:after="0" w:line="1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New Jersey Business Corporation Act provides that, unless otherwise stated in a provision of the New Jersey Business Corporation Act, or the certificate of incorporation, a corporation may amend its certificate of incorporation, from time to time, in any and as many respects as may be desired, so long as the amendment contains only such provisions as might lawfully be contained in the original certificate of incorporation filed at the time of making such amendment, by a resolution adopted by the Board of Directors and, unless otherwise provided in the certificate of incorporation, the affirmative vote of a majority of the votes cast by the holders of shares entitled to vote thereon and, in addition, if any class or series of shares is entitled to vote thereon as a class, the affirmative vote of a majority of the votes cast in each class vote. There is no super-majority voting, fair price or similar provision in our certificate of incorporation.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 of liability and indemnification</w:t>
      </w:r>
    </w:p>
    <w:p>
      <w:pPr>
        <w:spacing w:after="0" w:line="126"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2"/>
          <w:szCs w:val="12"/>
          <w:color w:val="auto"/>
        </w:rPr>
        <w:t>Our By-Laws require us to indemnify, to the full extent authorized by Section 14A:3-5 of the New Jersey Business Corporation Act, any person with respect to any civil, criminal, administrative or investigative action or proceeding instituted or threatened by reason of the fact that he, his testator or intestate is or was a director, officer or employee of our company or any predecessor of our company is or was serving at the request of our company or a predecessor of our company as a director, officer, employee or agent of another corporation, partnership, joint venture, trust or other enterprise.</w:t>
      </w:r>
    </w:p>
    <w:p>
      <w:pPr>
        <w:spacing w:after="0" w:line="68"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2"/>
          <w:szCs w:val="12"/>
          <w:color w:val="auto"/>
        </w:rPr>
        <w:t>Section 14A:3-5 of the New Jersey Business Corporation Act authorized the indemnification of directors and officers against liability incurred by reason of being a director or officer and against expenses (including attorneys’ fees) in connection with defending any action seeking to establish such liability, in the case of third-party claims, if the officer or director acted in good faith and in a manner he reasonably believed to be in or not opposed to the best interests of the corporation and if such officer or director shall not have been adjudged liable for negligence or misconduct, unless a court otherwise determines. Indemnification is also authorized with respect to any criminal action or proceeding where the officer or director had no reasonable cause to believe his conduct was unlawful.</w:t>
      </w:r>
    </w:p>
    <w:p>
      <w:pPr>
        <w:spacing w:after="0" w:line="7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In accordance with Section 14A:2-7 of the New Jersey Business Corporation Act, our Certificate of Incorporation eliminates the personal liability of officers and directors to our company and to stockholders for monetary damage for violation of a director’s duty owed to our company or our shareholders, under certain circumstances.</w:t>
      </w:r>
    </w:p>
    <w:p>
      <w:pPr>
        <w:spacing w:after="0" w:line="9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or persons controlling our company pursuant to the foregoing provisions, our company has been informed that in the opinion of the Securities and Exchange Commission such indemnification is against public policy as expressed in such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225" w:right="31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2"/>
          <w:szCs w:val="12"/>
          <w:color w:val="auto"/>
        </w:rPr>
        <w:t>We may issue warrants for the purchase of preferred stock or common stock. Warrants may be issued independently or together with preferred stock or common stock and may be attached to or separate from any offered securities. Each series of warrants will be issued under a separate warrant agreement to be entered into either between us and the warrant holders directly or between us and a bank or trust company, as warrant agent, or under such other arrangement as is described in the prospectus supplement relating to the warrants being offered pursuant to such prospectus supplement. The warrant agent will act solely as our agent in connection with the warrants. The warrant agent will not have any obligation or relationship of agency or trust for or with any holders or beneficial owners of warrants. A warrant agent will have no duty or responsibility in case of any default by us under the applicable warrant agreement or warrant, including any duty or responsibility to initiate any proceedings at law or otherwise, or to make any demand upon us. This summary of certain provisions of the warrants is not complete. For the complete terms of a particular series of warrants, you should refer to the prospectus supplement for that series of warrants and the warrant agreement for that particular series. The applicable prospectus supplement for a particular series of warrants may specify different or additional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Each warrant will entitle the holder to purchase for cash such securities at such exercise price as shall in each case be set forth in, or be determinable as set forth in, the prospectus supplement relating to the warrants offered thereby. Warrants may be exercised at any time up to the close of business on the expiration date set forth in the prospectus supplement relating to the warrants offered thereby. After the close of business on the expiration date, unexercised warrants will become void. The warrants may be exercised as set forth in the prospectus supplement relating to the warrants offered. Upon receipt of payment and the warrant certificate properly completed and duly executed at the corporate trust office of the warrant agent or any other office indicated in the prospectus supplement, we will, as soon as practicable, direct the issuance of the shares of our common stock purchasable upon such exercise. If less than all of the warrants represented by such warrant certificate are exercised, a new warrant certificate will be issued for the remaining warrants.</w:t>
      </w:r>
    </w:p>
    <w:p>
      <w:pPr>
        <w:spacing w:after="0" w:line="108" w:lineRule="exact"/>
        <w:rPr>
          <w:sz w:val="20"/>
          <w:szCs w:val="20"/>
          <w:color w:val="auto"/>
        </w:rPr>
      </w:pPr>
    </w:p>
    <w:p>
      <w:pPr>
        <w:ind w:right="120"/>
        <w:spacing w:after="0" w:line="304" w:lineRule="auto"/>
        <w:rPr>
          <w:sz w:val="20"/>
          <w:szCs w:val="20"/>
          <w:color w:val="auto"/>
        </w:rPr>
      </w:pPr>
      <w:r>
        <w:rPr>
          <w:rFonts w:ascii="Times New Roman" w:cs="Times New Roman" w:eastAsia="Times New Roman" w:hAnsi="Times New Roman"/>
          <w:sz w:val="12"/>
          <w:szCs w:val="12"/>
          <w:color w:val="auto"/>
        </w:rPr>
        <w:t>Warrants will be considered to have been exercised when the warrant agent receives payment of the exercise price, subject to the transfer books for the securities issuable upon exercise of the warrant not being closed on such date and compliance with other procedures for the proper exercise of such warrants as described in a prospectus supplement and the warrant agreement which is issued. After you have completed those procedures and subject to the foregoing, we will, as soon as practicable, issue and deliver to you the common stock or preferred stock that you purchased upon exercise. Holders of warrants will be required to pay any tax or governmental charge that may be imposed in connection with transferring the underlying securities in connection with the exercise of the warrants.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Adjustments</w:t>
      </w:r>
    </w:p>
    <w:p>
      <w:pPr>
        <w:spacing w:after="0" w:line="12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the exercise price of, and the number of securities covered by, a common stock warrant or preferred stock warrant will be adjusted proportionately if we subdivide or combine our common stock or preferred stock, as applicable. In addition, the prospectus supplement will describe any other provisions which may be included in warrants which we may issue that would result in an adjustment to the number of securities a holder will be entitled to receive upon exercise and/or in the exercise price of such warrant.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Terms of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relating to a particular series of warrants to purchase our common stock or preferred stock will describe the terms of the warrants, including the following:</w:t>
      </w:r>
    </w:p>
    <w:p>
      <w:pPr>
        <w:spacing w:after="0" w:line="124" w:lineRule="exact"/>
        <w:rPr>
          <w:sz w:val="20"/>
          <w:szCs w:val="20"/>
          <w:color w:val="auto"/>
        </w:rPr>
      </w:pPr>
    </w:p>
    <w:p>
      <w:pPr>
        <w:ind w:left="480" w:hanging="235"/>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60"/>
          </w:cols>
          <w:pgMar w:left="300" w:top="1221" w:right="339" w:bottom="1440" w:gutter="0" w:footer="0" w:header="0"/>
        </w:sectPr>
      </w:pPr>
    </w:p>
    <w:bookmarkStart w:id="34" w:name="page35"/>
    <w:bookmarkEnd w:id="34"/>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common stock or preferred stock that may be purchased upon exercise of the warrants;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security;</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any securities issued with the warrants will be separately transferable;</w:t>
      </w:r>
    </w:p>
    <w:p>
      <w:pPr>
        <w:spacing w:after="0" w:line="123" w:lineRule="exact"/>
        <w:rPr>
          <w:rFonts w:ascii="Times New Roman" w:cs="Times New Roman" w:eastAsia="Times New Roman" w:hAnsi="Times New Roman"/>
          <w:sz w:val="14"/>
          <w:szCs w:val="14"/>
          <w:color w:val="auto"/>
        </w:rPr>
      </w:pPr>
    </w:p>
    <w:p>
      <w:pPr>
        <w:ind w:left="480" w:right="140" w:hanging="235"/>
        <w:spacing w:after="0" w:line="263" w:lineRule="auto"/>
        <w:tabs>
          <w:tab w:leader="none" w:pos="47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that may be purchased upon exercise of a warrant and the exercise price for the warrants, which may be exercisable in cash, securities or other property;</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shall commence and expire;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warrants that may be exercised at any one time;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the warrants;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with respect to holder’s right to require us to repurchase the warrants upon a change in control;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exercise and settlement of the warrants.</w:t>
      </w:r>
    </w:p>
    <w:p>
      <w:pPr>
        <w:spacing w:after="0" w:line="1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Holders of equity warrants will not be entitled to vote, consent to or receive dividends; receive notice as stockholders with respect to any meeting of stockholders for the election of our directors or any other matter; or exercise any rights as our stockholders until they exercise their warrants and receive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160"/>
          </w:cols>
          <w:pgMar w:left="300" w:top="1225" w:right="4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such underwriters will purchase any offered securities remaining unsubscribed after such rights offering. In connection with a rights offering to our stockholders, we will distribute certificates evidencing the rights and a prospectus supplement to our stockholders on the record date that we set for receiving rights in such rights offering.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prospectus supplement or free writing prospectus will describe the following terms of rights in respect of which this prospectus is being delivered:</w:t>
      </w:r>
    </w:p>
    <w:p>
      <w:pPr>
        <w:spacing w:after="0" w:line="124" w:lineRule="exact"/>
        <w:rPr>
          <w:sz w:val="20"/>
          <w:szCs w:val="20"/>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rights;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for which such rights are exercisable;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such rights;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security holders entitled to the rights distribution;</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such rights issued to each security holder;</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rights are transferable;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the material United States federal income tax considerations applicable to the issuance or exercise of such rights;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rights shall commence, and the date on which such rights shall expire (subject to any extension);</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to completion of the rights offering;</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rights;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rights include an over-subscription privilege with respect to unsubscribed securities;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other purchase arrangement that we may enter in connection with the rights offering;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rights, including terms, procedures and limitations relating to the exchange and exercise of such rights.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0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Rights may be exercised as set forth in the prospectus supplement relating to the rights offered thereby. Upon receipt of payment and the proper completion and due execution of the rights certificate at the corporate trust office of the rights agent or any other office indicated in the prospectus supplement, we will forward,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60"/>
          </w:cols>
          <w:pgMar w:left="300" w:top="1221" w:right="339" w:bottom="1440" w:gutter="0" w:footer="0" w:header="0"/>
        </w:sectPr>
      </w:pPr>
    </w:p>
    <w:bookmarkStart w:id="36" w:name="page37"/>
    <w:bookmarkEnd w:id="36"/>
    <w:p>
      <w:pPr>
        <w:spacing w:after="0" w:line="346" w:lineRule="auto"/>
        <w:rPr>
          <w:sz w:val="20"/>
          <w:szCs w:val="20"/>
          <w:color w:val="auto"/>
        </w:rPr>
      </w:pPr>
      <w:r>
        <w:rPr>
          <w:rFonts w:ascii="Times New Roman" w:cs="Times New Roman" w:eastAsia="Times New Roman" w:hAnsi="Times New Roman"/>
          <w:sz w:val="12"/>
          <w:szCs w:val="12"/>
          <w:color w:val="auto"/>
        </w:rPr>
        <w:t>practicable, the shares of common stock and/or preferred stock purchasable upon such exercise. We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Agent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name and address of 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225" w:right="31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2"/>
          <w:szCs w:val="12"/>
          <w:color w:val="auto"/>
        </w:rPr>
        <w:t>We may issue units consisting of common stock, preferred stock, warrants, or rights for the purchase of common stock and/or preferred stock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units being offered, including:</w:t>
      </w:r>
    </w:p>
    <w:p>
      <w:pPr>
        <w:spacing w:after="0" w:line="124" w:lineRule="exact"/>
        <w:rPr>
          <w:sz w:val="20"/>
          <w:szCs w:val="20"/>
          <w:color w:val="auto"/>
        </w:rPr>
      </w:pPr>
    </w:p>
    <w:p>
      <w:pPr>
        <w:ind w:left="480" w:hanging="235"/>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124" w:lineRule="exact"/>
        <w:rPr>
          <w:sz w:val="20"/>
          <w:szCs w:val="20"/>
          <w:color w:val="auto"/>
        </w:rPr>
      </w:pPr>
    </w:p>
    <w:p>
      <w:pPr>
        <w:ind w:right="540"/>
        <w:spacing w:after="0" w:line="346" w:lineRule="auto"/>
        <w:rPr>
          <w:sz w:val="20"/>
          <w:szCs w:val="20"/>
          <w:color w:val="auto"/>
        </w:rPr>
      </w:pPr>
      <w:r>
        <w:rPr>
          <w:rFonts w:ascii="Times New Roman" w:cs="Times New Roman" w:eastAsia="Times New Roman" w:hAnsi="Times New Roman"/>
          <w:sz w:val="12"/>
          <w:szCs w:val="12"/>
          <w:color w:val="auto"/>
        </w:rPr>
        <w:t>We may issue units in such amounts and in such numbers of distinct series as we determine. The provisions described in this section, as well as those described under “Description of Capital Stock”, “Description of Warrants”, and “Description of Units” will apply to each unit, as applicable, and to any common stock, preferred stock, warrant or right included in each unit, as applicable.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 Agent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name and address of the unit agent for any units we offer will be set forth in the applicable prospectus supplement.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Units</w:t>
      </w:r>
    </w:p>
    <w:p>
      <w:pPr>
        <w:spacing w:after="0" w:line="1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60"/>
          </w:cols>
          <w:pgMar w:left="300" w:top="1221"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or unit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12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Global securities will be registered in the name of the depositary.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05" w:lineRule="exact"/>
        <w:rPr>
          <w:sz w:val="20"/>
          <w:szCs w:val="20"/>
          <w:color w:val="auto"/>
        </w:rPr>
      </w:pPr>
    </w:p>
    <w:p>
      <w:pPr>
        <w:ind w:right="80"/>
        <w:spacing w:after="0" w:line="346" w:lineRule="auto"/>
        <w:rPr>
          <w:sz w:val="20"/>
          <w:szCs w:val="20"/>
          <w:color w:val="auto"/>
        </w:rPr>
      </w:pPr>
      <w:r>
        <w:rPr>
          <w:rFonts w:ascii="Times New Roman" w:cs="Times New Roman" w:eastAsia="Times New Roman" w:hAnsi="Times New Roman"/>
          <w:sz w:val="12"/>
          <w:szCs w:val="12"/>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12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0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128"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03" w:lineRule="exact"/>
        <w:rPr>
          <w:sz w:val="20"/>
          <w:szCs w:val="20"/>
          <w:color w:val="auto"/>
        </w:rPr>
      </w:pPr>
    </w:p>
    <w:p>
      <w:pPr>
        <w:jc w:val="both"/>
        <w:ind w:right="360"/>
        <w:spacing w:after="0" w:line="252"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60"/>
          </w:cols>
          <w:pgMar w:left="300" w:top="1221" w:right="339" w:bottom="1440" w:gutter="0" w:footer="0" w:header="0"/>
        </w:sectPr>
      </w:pPr>
    </w:p>
    <w:bookmarkStart w:id="39" w:name="page40"/>
    <w:bookmarkEnd w:id="39"/>
    <w:p>
      <w:pPr>
        <w:ind w:right="380"/>
        <w:spacing w:after="0" w:line="263" w:lineRule="auto"/>
        <w:rPr>
          <w:sz w:val="20"/>
          <w:szCs w:val="20"/>
          <w:color w:val="auto"/>
        </w:rPr>
      </w:pPr>
      <w:r>
        <w:rPr>
          <w:rFonts w:ascii="Times New Roman" w:cs="Times New Roman" w:eastAsia="Times New Roman" w:hAnsi="Times New Roman"/>
          <w:sz w:val="14"/>
          <w:szCs w:val="14"/>
          <w:color w:val="auto"/>
        </w:rPr>
        <w:t>provision of an indenture, or for other purposes. In such an event, we would seek approval only from the holders, and not the indirect holders, of the securities. Whether and how the holders contact the indirect holders is up to the 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12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95" w:lineRule="exact"/>
        <w:rPr>
          <w:sz w:val="20"/>
          <w:szCs w:val="20"/>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global securities, how the depositary’s rules and procedures will affect these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8"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2"/>
          <w:szCs w:val="12"/>
          <w:color w:val="auto"/>
        </w:rPr>
        <w:t>A global security is a security which represents one or any other number of individual securities held by a depositary. Generally, all securities represented by the same global securities will have the same terms. Each security issued in book-entry form will be represented by a global security that we issue to, deposit with and register in the name of a financial institution or its nominee that we select. The financial institution that we select for this purpose is called the depositary. We will specify the depository for global securities issued under this prospectus in the applicable prospectus supplement.</w:t>
      </w:r>
    </w:p>
    <w:p>
      <w:pPr>
        <w:spacing w:after="0" w:line="68" w:lineRule="exact"/>
        <w:rPr>
          <w:sz w:val="20"/>
          <w:szCs w:val="20"/>
          <w:color w:val="auto"/>
        </w:rPr>
      </w:pPr>
    </w:p>
    <w:p>
      <w:pPr>
        <w:jc w:val="both"/>
        <w:ind w:right="80"/>
        <w:spacing w:after="0" w:line="304" w:lineRule="auto"/>
        <w:rPr>
          <w:sz w:val="20"/>
          <w:szCs w:val="20"/>
          <w:color w:val="auto"/>
        </w:rPr>
      </w:pPr>
      <w:r>
        <w:rPr>
          <w:rFonts w:ascii="Times New Roman" w:cs="Times New Roman" w:eastAsia="Times New Roman" w:hAnsi="Times New Roman"/>
          <w:sz w:val="12"/>
          <w:szCs w:val="12"/>
          <w:color w:val="auto"/>
        </w:rPr>
        <w:t>A global security may not be transferred to or registered in the name of anyone other than the depositary, its nominee or a successor depositary, unless special termination situations arise.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12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If securities are issued only as a global security, an investor should be aware of the following:</w:t>
      </w:r>
    </w:p>
    <w:p>
      <w:pPr>
        <w:spacing w:after="0" w:line="103" w:lineRule="exact"/>
        <w:rPr>
          <w:sz w:val="20"/>
          <w:szCs w:val="20"/>
          <w:color w:val="auto"/>
        </w:rPr>
      </w:pPr>
    </w:p>
    <w:p>
      <w:pPr>
        <w:ind w:left="480" w:right="20" w:hanging="235"/>
        <w:spacing w:after="0" w:line="263" w:lineRule="auto"/>
        <w:tabs>
          <w:tab w:leader="none" w:pos="4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00" w:top="1225" w:right="359" w:bottom="1440" w:gutter="0" w:footer="0" w:header="0"/>
        </w:sectPr>
      </w:pPr>
    </w:p>
    <w:bookmarkStart w:id="40" w:name="page41"/>
    <w:bookmarkEnd w:id="40"/>
    <w:p>
      <w:pPr>
        <w:ind w:left="480" w:hanging="235"/>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certain institutions that are required by law to own their securities in non-book-entry form;</w:t>
      </w:r>
    </w:p>
    <w:p>
      <w:pPr>
        <w:spacing w:after="0" w:line="123" w:lineRule="exact"/>
        <w:rPr>
          <w:rFonts w:ascii="Times New Roman" w:cs="Times New Roman" w:eastAsia="Times New Roman" w:hAnsi="Times New Roman"/>
          <w:sz w:val="14"/>
          <w:szCs w:val="14"/>
          <w:color w:val="auto"/>
        </w:rPr>
      </w:pPr>
    </w:p>
    <w:p>
      <w:pPr>
        <w:ind w:left="480" w:right="40" w:hanging="235"/>
        <w:spacing w:after="0" w:line="263" w:lineRule="auto"/>
        <w:tabs>
          <w:tab w:leader="none" w:pos="4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94" w:lineRule="exact"/>
        <w:rPr>
          <w:rFonts w:ascii="Times New Roman" w:cs="Times New Roman" w:eastAsia="Times New Roman" w:hAnsi="Times New Roman"/>
          <w:sz w:val="14"/>
          <w:szCs w:val="14"/>
          <w:color w:val="auto"/>
        </w:rPr>
      </w:pPr>
    </w:p>
    <w:p>
      <w:pPr>
        <w:ind w:left="480" w:right="380" w:hanging="235"/>
        <w:spacing w:after="0" w:line="252" w:lineRule="auto"/>
        <w:tabs>
          <w:tab w:leader="none" w:pos="4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102" w:lineRule="exact"/>
        <w:rPr>
          <w:rFonts w:ascii="Times New Roman" w:cs="Times New Roman" w:eastAsia="Times New Roman" w:hAnsi="Times New Roman"/>
          <w:sz w:val="14"/>
          <w:szCs w:val="14"/>
          <w:color w:val="auto"/>
        </w:rPr>
      </w:pPr>
    </w:p>
    <w:p>
      <w:pPr>
        <w:ind w:left="480" w:right="40" w:hanging="235"/>
        <w:spacing w:after="0" w:line="263" w:lineRule="auto"/>
        <w:tabs>
          <w:tab w:leader="none" w:pos="4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require that those who purchase and sell interests in the global security within its book-entry system use immediately available funds, and your broker or bank may require you to do so as well; and</w:t>
      </w:r>
    </w:p>
    <w:p>
      <w:pPr>
        <w:spacing w:after="0" w:line="94" w:lineRule="exact"/>
        <w:rPr>
          <w:rFonts w:ascii="Times New Roman" w:cs="Times New Roman" w:eastAsia="Times New Roman" w:hAnsi="Times New Roman"/>
          <w:sz w:val="14"/>
          <w:szCs w:val="14"/>
          <w:color w:val="auto"/>
        </w:rPr>
      </w:pPr>
    </w:p>
    <w:p>
      <w:pPr>
        <w:jc w:val="both"/>
        <w:ind w:left="480" w:right="180" w:hanging="235"/>
        <w:spacing w:after="0" w:line="252" w:lineRule="auto"/>
        <w:tabs>
          <w:tab w:leader="none" w:pos="47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his or her interest in the global security, may also have their own policies affecting payments, notices and other matters relating to the securities. There may be more than one financial intermediary in the chain of ownership for an investor. We are not responsible for the actions of any of those intermediaries.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A global security will terminate when the following special situations occur:</w:t>
      </w:r>
    </w:p>
    <w:p>
      <w:pPr>
        <w:spacing w:after="0" w:line="103" w:lineRule="exact"/>
        <w:rPr>
          <w:sz w:val="20"/>
          <w:szCs w:val="20"/>
          <w:color w:val="auto"/>
        </w:rPr>
      </w:pPr>
    </w:p>
    <w:p>
      <w:pPr>
        <w:ind w:left="480" w:right="200" w:hanging="235"/>
        <w:spacing w:after="0" w:line="263" w:lineRule="auto"/>
        <w:tabs>
          <w:tab w:leader="none" w:pos="47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a specified time period after we receive notice or become aware of such condition;</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123" w:lineRule="exact"/>
        <w:rPr>
          <w:rFonts w:ascii="Times New Roman" w:cs="Times New Roman" w:eastAsia="Times New Roman" w:hAnsi="Times New Roman"/>
          <w:sz w:val="14"/>
          <w:szCs w:val="14"/>
          <w:color w:val="auto"/>
        </w:rPr>
      </w:pPr>
    </w:p>
    <w:p>
      <w:pPr>
        <w:ind w:left="480" w:right="640" w:hanging="235"/>
        <w:spacing w:after="0" w:line="263" w:lineRule="auto"/>
        <w:tabs>
          <w:tab w:leader="none" w:pos="47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 and we have received a request from the depositary for the discontinuance of securities in global form.</w:t>
      </w:r>
    </w:p>
    <w:p>
      <w:pPr>
        <w:spacing w:after="0" w:line="9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1225" w:right="319" w:bottom="1440" w:gutter="0" w:footer="0" w:header="0"/>
        </w:sectPr>
      </w:pPr>
    </w:p>
    <w:bookmarkStart w:id="41" w:name="page42"/>
    <w:bookmarkEnd w:id="41"/>
    <w:p>
      <w:pPr>
        <w:ind w:left="48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sell the securities to be offered by this prospectus in one or more of the following ways from time to time:</w:t>
      </w:r>
    </w:p>
    <w:p>
      <w:pPr>
        <w:spacing w:after="0" w:line="124" w:lineRule="exact"/>
        <w:rPr>
          <w:sz w:val="20"/>
          <w:szCs w:val="20"/>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to the public or to investors;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underwriting syndicates represented by one or more managing underwriters;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brokers or dealers for resale to the public or to investors;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“at the market” offerings;</w:t>
      </w:r>
    </w:p>
    <w:p>
      <w:pPr>
        <w:spacing w:after="0" w:line="123" w:lineRule="exact"/>
        <w:rPr>
          <w:rFonts w:ascii="Times New Roman" w:cs="Times New Roman" w:eastAsia="Times New Roman" w:hAnsi="Times New Roman"/>
          <w:sz w:val="14"/>
          <w:szCs w:val="14"/>
          <w:color w:val="auto"/>
        </w:rPr>
      </w:pPr>
    </w:p>
    <w:p>
      <w:pPr>
        <w:ind w:left="480" w:right="280" w:hanging="235"/>
        <w:spacing w:after="0" w:line="263" w:lineRule="auto"/>
        <w:tabs>
          <w:tab w:leader="none" w:pos="47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in negotiated sales or competitively bid transactions; or</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 as the prospectus supplement specifies:</w:t>
      </w:r>
    </w:p>
    <w:p>
      <w:pPr>
        <w:spacing w:after="0" w:line="124" w:lineRule="exact"/>
        <w:rPr>
          <w:sz w:val="20"/>
          <w:szCs w:val="20"/>
          <w:color w:val="auto"/>
        </w:rPr>
      </w:pPr>
    </w:p>
    <w:p>
      <w:pPr>
        <w:ind w:left="480" w:hanging="235"/>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set forth in a prospectus supplement the terms of the offering of the securities, including</w:t>
      </w:r>
    </w:p>
    <w:p>
      <w:pPr>
        <w:spacing w:after="0" w:line="124" w:lineRule="exact"/>
        <w:rPr>
          <w:sz w:val="20"/>
          <w:szCs w:val="20"/>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agents, dealers or underwriters;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being offered and the proceeds we will receive from the sale;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any class or series of securities may be listed.</w:t>
      </w:r>
    </w:p>
    <w:p>
      <w:pPr>
        <w:spacing w:after="0" w:line="124"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2"/>
          <w:szCs w:val="12"/>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initial public offering price and any discounts or concessions the underwriters allow or reallow or pay to dealers. We may use underwriters with whom we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180"/>
          </w:cols>
          <w:pgMar w:left="300" w:top="1221"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relationship. We will describe in the prospectus supplement naming the underwriter the nature of any such relationship.</w:t>
      </w:r>
    </w:p>
    <w:p>
      <w:pPr>
        <w:spacing w:after="0" w:line="1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 All participating underwriters, dealers and agents will be registered broker-dealers or associated persons of registered broker-dealers. Only underwriters named in the prospectus supplement are underwriters of the securities offered by the prospectus supplement.</w:t>
      </w:r>
    </w:p>
    <w:p>
      <w:pPr>
        <w:spacing w:after="0" w:line="1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If we offer and sell securities through a dealer, we or an underwriter will sell the securities to the dealer, as principal. The dealer may resell the securities to the public at varying prices to be determined by the dealer at the time of resale. Any such dealer may be deemed to be an underwriter of the securities offered and sold. The name of the dealer and the terms of the transaction will be set forth in the applicable prospectus supplement.</w:t>
      </w:r>
    </w:p>
    <w:p>
      <w:pPr>
        <w:spacing w:after="0" w:line="10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We may designate agents who agree to use their reasonable or best efforts to solicit purchases for the period of their appointment or to sell securities on a continuing basis. We will name any agent involved in the offering and sale of securities and we will describe any commissions we will pay the agent in the prospectus supplement.</w:t>
      </w:r>
    </w:p>
    <w:p>
      <w:pPr>
        <w:spacing w:after="0" w:line="9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03"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2"/>
          <w:szCs w:val="12"/>
          <w:color w:val="auto"/>
        </w:rPr>
        <w:t>We may also make direct sales through subscription rights distributed to our existing shareholders on a pro rata basis, which may or may not be transferable. If we offer securities in a subscription rights offering to our existing security holders, we may enter into a standby underwriting agreement with dealers or other persons,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We may also sell securities directly to one or more purchasers without using underwriters or agents. 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Markets and Listing of Common Stock</w:t>
      </w:r>
    </w:p>
    <w:p>
      <w:pPr>
        <w:spacing w:after="0" w:line="12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established trading market, other than our common stock, which is listed on the Nasdaq Capital Market under the trading symbol “DLHC.”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2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4"/>
          <w:szCs w:val="14"/>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applicable prospectus supplement will describe the commission payable for solicitation of those contracts. Each contract will be for an amount not less than, and the aggregate amount of securities sold pursuant to such contracts shall not be less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225" w:right="319" w:bottom="1440" w:gutter="0" w:footer="0" w:header="0"/>
        </w:sectPr>
      </w:pPr>
    </w:p>
    <w:bookmarkStart w:id="43" w:name="page44"/>
    <w:bookmarkEnd w:id="43"/>
    <w:p>
      <w:pPr>
        <w:ind w:right="40"/>
        <w:spacing w:after="0" w:line="247" w:lineRule="auto"/>
        <w:rPr>
          <w:sz w:val="20"/>
          <w:szCs w:val="20"/>
          <w:color w:val="auto"/>
        </w:rPr>
      </w:pPr>
      <w:r>
        <w:rPr>
          <w:rFonts w:ascii="Times New Roman" w:cs="Times New Roman" w:eastAsia="Times New Roman" w:hAnsi="Times New Roman"/>
          <w:sz w:val="14"/>
          <w:szCs w:val="14"/>
          <w:color w:val="auto"/>
        </w:rPr>
        <w:t>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the purchase by an institution of the securities covered under that contract shall not at the time of delivery be prohibited under the laws of the jurisdiction to which that institution is subject; and 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Making, Stabilization and Other Transactions</w:t>
      </w:r>
    </w:p>
    <w:p>
      <w:pPr>
        <w:spacing w:after="0" w:line="12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2"/>
          <w:szCs w:val="12"/>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8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Any underwriters that are qualified market makers may engage in passive market making transactions in the securities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2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may provide agents, dealers, underwriters and other persons with indemnification against civil liabilities related to this offering, including liabilities under the Securities Act, or contribution with respect to payments that the agents or underwriters may make with respect to these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60"/>
          </w:cols>
          <w:pgMar w:left="300" w:top="122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Certain legal matters in connection with any offering of securities by this prospectus will be passed upon for us by Becker &amp; Poliakoff, P.A. Principals of Becker &amp; Poliakoff, P.A. own shares of our common stock.</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8"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2"/>
          <w:szCs w:val="12"/>
          <w:color w:val="auto"/>
        </w:rPr>
        <w:t>Our consolidated balance sheets as of September 30, 2025 and 2024, and the related consolidated statements of operations, changes in shareholders’ equity and cash flows for the years ended September 30, 2025 and 2024, incorporated by reference in this prospectus and the registration statement, of which it forms a part, have been audited by WithumSmith+Brown, PC, independent registered public accounting firm, as set forth in their report thereon incorporated by reference herein, and are included in reliance on such report given on the authority of such firm as experts in accounting and auditing.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2"/>
          <w:szCs w:val="12"/>
          <w:color w:val="auto"/>
        </w:rPr>
        <w:t xml:space="preserve">This prospectus is part of a registration statement on Form S-3 we have filed with the SEC under the Securities Act. This prospectus does not contain all of the information in the registration statement in accordance with the rules and regulations of the SEC. You may inspect and copy the registration statement, including exhibits, at the SEC’s public reference room or website. Our statements in this prospectus about the contents of any contract or other document are not necessarily complete. You should refer to the copy of each contract or other document we have filed as an exhibit to the registration statement for complete information. We are also subject to the informational requirements of the Exchange Act which requires us to file reports, proxy statements and other information with the SEC. Such reports, proxy statements and other information, along with the registration statement, including the exhibits and schedules thereto, may be inspected at the SEC’s Public Reference Room at 100 F Street, NE, Washington, D.C. 20549. Copies of such material can be obtained from the SEC’s Public Reference Room at 100 F Street, NE, Washington, D.C. 20549. Information on the operation of the Public Reference Room may be obtained by calling the SEC at 1-800-SEC-0330. Because we file documents electronically with the SEC, you may also obtain this information by visiting the SEC’s Internet website at </w:t>
      </w:r>
      <w:r>
        <w:rPr>
          <w:rFonts w:ascii="Times New Roman" w:cs="Times New Roman" w:eastAsia="Times New Roman" w:hAnsi="Times New Roman"/>
          <w:sz w:val="12"/>
          <w:szCs w:val="12"/>
          <w:u w:val="single" w:color="auto"/>
          <w:color w:val="auto"/>
        </w:rPr>
        <w:t>http://www.sec.gov</w:t>
      </w:r>
      <w:r>
        <w:rPr>
          <w:rFonts w:ascii="Times New Roman" w:cs="Times New Roman" w:eastAsia="Times New Roman" w:hAnsi="Times New Roman"/>
          <w:sz w:val="12"/>
          <w:szCs w:val="12"/>
          <w:color w:val="auto"/>
        </w:rPr>
        <w:t>.</w:t>
      </w:r>
    </w:p>
    <w:p>
      <w:pPr>
        <w:spacing w:after="0" w:line="8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We also maintain an Internet website at www.dlhcorp.com which can be used to access free of charge, through the investor relations section, our Annual Report on Form 10-K, Quarterly Reports on Form 10-Q, current reports on Form 8-K, and any amendments to those reports, as soon as reasonably practicable after we electronically file such material with or furnish it to the SEC and all such reports of ours going forward. The information set forth on, or connected to, our website is expressly not incorporated by reference into, and does not constitute a part of, this prospectus,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1221" w:right="3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2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we can disclose important information to you by referring you to those documents. The information we incorporate by reference is an important part of this prospectus. The information incorporated by reference is considered to be part of this prospectus, and later information that we file with the SEC will automatically update and supersede this information. The following documents filed with the SEC are incorporated by reference in this prospectus:</w:t>
      </w:r>
    </w:p>
    <w:p>
      <w:pPr>
        <w:spacing w:after="0" w:line="103" w:lineRule="exact"/>
        <w:rPr>
          <w:sz w:val="20"/>
          <w:szCs w:val="20"/>
          <w:color w:val="auto"/>
        </w:rPr>
      </w:pPr>
    </w:p>
    <w:p>
      <w:pPr>
        <w:ind w:left="480" w:hanging="235"/>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2">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September 30, 2025;</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fiscal quarters ended </w:t>
      </w:r>
      <w:hyperlink r:id="rId13">
        <w:r>
          <w:rPr>
            <w:rFonts w:ascii="Times New Roman" w:cs="Times New Roman" w:eastAsia="Times New Roman" w:hAnsi="Times New Roman"/>
            <w:sz w:val="14"/>
            <w:szCs w:val="14"/>
            <w:u w:val="single" w:color="auto"/>
            <w:color w:val="0000FF"/>
          </w:rPr>
          <w:t>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4">
        <w:r>
          <w:rPr>
            <w:rFonts w:ascii="Times New Roman" w:cs="Times New Roman" w:eastAsia="Times New Roman" w:hAnsi="Times New Roman"/>
            <w:sz w:val="14"/>
            <w:szCs w:val="14"/>
            <w:u w:val="single" w:color="auto"/>
            <w:color w:val="0000FF"/>
          </w:rPr>
          <w:t>March 31, 2026</w:t>
        </w:r>
      </w:hyperlink>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or Form 8-K/A (other than information contained in Current Reports on Form 8-K that is furnished, but not filed) dated </w:t>
      </w:r>
      <w:hyperlink r:id="rId15">
        <w:r>
          <w:rPr>
            <w:rFonts w:ascii="Times New Roman" w:cs="Times New Roman" w:eastAsia="Times New Roman" w:hAnsi="Times New Roman"/>
            <w:sz w:val="14"/>
            <w:szCs w:val="14"/>
            <w:u w:val="single" w:color="auto"/>
            <w:color w:val="0000FF"/>
          </w:rPr>
          <w:t>October 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6">
        <w:r>
          <w:rPr>
            <w:rFonts w:ascii="Times New Roman" w:cs="Times New Roman" w:eastAsia="Times New Roman" w:hAnsi="Times New Roman"/>
            <w:sz w:val="14"/>
            <w:szCs w:val="14"/>
            <w:u w:val="single" w:color="auto"/>
            <w:color w:val="0000FF"/>
          </w:rPr>
          <w:t>March 17, 2026</w:t>
        </w:r>
      </w:hyperlink>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17">
        <w:r>
          <w:rPr>
            <w:rFonts w:ascii="Times New Roman" w:cs="Times New Roman" w:eastAsia="Times New Roman" w:hAnsi="Times New Roman"/>
            <w:sz w:val="14"/>
            <w:szCs w:val="14"/>
            <w:u w:val="single" w:color="auto"/>
            <w:color w:val="0000FF"/>
          </w:rPr>
          <w:t>Schedule 14A</w:t>
        </w:r>
      </w:hyperlink>
      <w:r>
        <w:rPr>
          <w:rFonts w:ascii="Times New Roman" w:cs="Times New Roman" w:eastAsia="Times New Roman" w:hAnsi="Times New Roman"/>
          <w:sz w:val="14"/>
          <w:szCs w:val="14"/>
          <w:color w:val="auto"/>
        </w:rPr>
        <w:t>; filed on January 28, 2026; and</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our common stock contained in our registration statement on Form 8-A filed on April 27, 1990.</w:t>
      </w:r>
    </w:p>
    <w:p>
      <w:pPr>
        <w:spacing w:after="0" w:line="124" w:lineRule="exact"/>
        <w:rPr>
          <w:rFonts w:ascii="Times New Roman" w:cs="Times New Roman" w:eastAsia="Times New Roman" w:hAnsi="Times New Roman"/>
          <w:sz w:val="14"/>
          <w:szCs w:val="14"/>
          <w:color w:val="auto"/>
        </w:rPr>
      </w:pPr>
    </w:p>
    <w:p>
      <w:pPr>
        <w:spacing w:after="0" w:line="293" w:lineRule="auto"/>
        <w:rPr>
          <w:sz w:val="20"/>
          <w:szCs w:val="20"/>
          <w:color w:val="auto"/>
        </w:rPr>
      </w:pPr>
      <w:r>
        <w:rPr>
          <w:rFonts w:ascii="Times New Roman" w:cs="Times New Roman" w:eastAsia="Times New Roman" w:hAnsi="Times New Roman"/>
          <w:sz w:val="12"/>
          <w:szCs w:val="12"/>
          <w:color w:val="auto"/>
        </w:rPr>
        <w:t>We are also incorporating by reference any future filings we make with the Commission under Section 13(a), 13(c), 14 or 15(d) of the Securities Exchange Act of 1934 until all of the common stock to which this prospectus relates has been sold or the offering is otherwise terminated, including those made between the date of filing of the initial registration statement and prior to effectiveness of the registration statement, except that information furnished under Item 2.02 or Item 7.01 of our Current Reports on Form 8-K or in any other filing where we indicate that such information is being furnished and not “filed” under the Exchange Act, is not deemed to be filed and not incorporated by reference herein. A statement contained in a document incorporated by reference into this prospectus shall be deemed to be modified or superseded for purposes of this prospectus to the extent that a statement contained in this prospectus, any prospectus supplement or in any other subsequently filed document which is also incorporated in this prospectus modifies or replaces such statement. Any statements so modified or superseded shall not be deemed, except as so modified or superseded, to constitute a part of this prospectus. You may request a copy of any or all of the information incorporated by reference into this prospectus, at no cost, by writing or telephoning us at the following address:</w:t>
      </w:r>
    </w:p>
    <w:p>
      <w:pPr>
        <w:spacing w:after="0" w:line="1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DLH Holdings Corp.</w:t>
      </w:r>
    </w:p>
    <w:p>
      <w:pPr>
        <w:spacing w:after="0" w:line="1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3565 Piedmont Road, NE</w:t>
      </w:r>
    </w:p>
    <w:p>
      <w:pPr>
        <w:spacing w:after="0" w:line="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Building 3- Suite 700</w:t>
      </w:r>
    </w:p>
    <w:p>
      <w:pPr>
        <w:spacing w:after="0" w:line="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Atlanta, GA 30305</w:t>
      </w:r>
    </w:p>
    <w:p>
      <w:pPr>
        <w:spacing w:after="0" w:line="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(678) 935-1520</w:t>
      </w:r>
    </w:p>
    <w:p>
      <w:pPr>
        <w:spacing w:after="0" w:line="193" w:lineRule="exact"/>
        <w:rPr>
          <w:rFonts w:ascii="Times New Roman" w:cs="Times New Roman" w:eastAsia="Times New Roman" w:hAnsi="Times New Roman"/>
          <w:sz w:val="14"/>
          <w:szCs w:val="14"/>
          <w:color w:val="auto"/>
        </w:rPr>
      </w:pPr>
    </w:p>
    <w:p>
      <w:pPr>
        <w:jc w:val="both"/>
        <w:ind w:right="120"/>
        <w:spacing w:after="0" w:line="346" w:lineRule="auto"/>
        <w:rPr>
          <w:sz w:val="20"/>
          <w:szCs w:val="20"/>
          <w:color w:val="auto"/>
        </w:rPr>
      </w:pPr>
      <w:r>
        <w:rPr>
          <w:rFonts w:ascii="Times New Roman" w:cs="Times New Roman" w:eastAsia="Times New Roman" w:hAnsi="Times New Roman"/>
          <w:sz w:val="12"/>
          <w:szCs w:val="12"/>
          <w:color w:val="auto"/>
        </w:rPr>
        <w:t xml:space="preserve">Copies of these filings are also available at no cost on our website, </w:t>
      </w:r>
      <w:r>
        <w:rPr>
          <w:rFonts w:ascii="Times New Roman" w:cs="Times New Roman" w:eastAsia="Times New Roman" w:hAnsi="Times New Roman"/>
          <w:sz w:val="12"/>
          <w:szCs w:val="12"/>
          <w:u w:val="single" w:color="auto"/>
          <w:color w:val="auto"/>
        </w:rPr>
        <w:t>www.dlhcorp.com</w:t>
      </w:r>
      <w:r>
        <w:rPr>
          <w:rFonts w:ascii="Times New Roman" w:cs="Times New Roman" w:eastAsia="Times New Roman" w:hAnsi="Times New Roman"/>
          <w:sz w:val="12"/>
          <w:szCs w:val="12"/>
          <w:color w:val="auto"/>
        </w:rPr>
        <w:t xml:space="preserve"> or from the SEC through the SEC’s website at the web address provided under the heading “Where You Can Find More Information.” Documents incorporated by reference are available without charge, excluding any exhibits to those documents unless the exhibit is specifically incorporated by reference into those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1221" w:right="319" w:bottom="1440" w:gutter="0" w:footer="0" w:header="0"/>
        </w:sectPr>
      </w:pPr>
    </w:p>
    <w:bookmarkStart w:id="46" w:name="page47"/>
    <w:bookmarkEnd w:id="46"/>
    <w:p>
      <w:pPr>
        <w:ind w:right="120"/>
        <w:spacing w:after="0" w:line="306"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in this prospectus. We have not authorized any dealer, broker, salesperson or any other person to provide you with information or to make any representations different from those contained in this prospectus or incorporated herein by reference. The information contained in this prospectus is accurate only as of the date of this prospectus, regardless of the time of delivery of this prospectus or of any sale of the shares. This prospectus does not constitute an offer or solicitation by anyone in any jurisdiction in which such offer or solicitation is not authorized or in which the person making such offer is not qualified to do so or to anyone to whom it is unlawful to make such offer or solicitation.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DLH HOLDINGS CORP.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PREFERRED STOCK, WARRANTS,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483235</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 w:type="dxa"/>
            <w:vAlign w:val="bottom"/>
          </w:tcPr>
          <w:p>
            <w:pPr>
              <w:spacing w:after="0"/>
              <w:rPr>
                <w:sz w:val="15"/>
                <w:szCs w:val="15"/>
                <w:color w:val="auto"/>
              </w:rPr>
            </w:pPr>
          </w:p>
        </w:tc>
        <w:tc>
          <w:tcPr>
            <w:tcW w:w="10740" w:type="dxa"/>
            <w:vAlign w:val="bottom"/>
          </w:tcPr>
          <w:p>
            <w:pPr>
              <w:jc w:val="right"/>
              <w:ind w:right="5112"/>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184"/>
        </w:trPr>
        <w:tc>
          <w:tcPr>
            <w:tcW w:w="540" w:type="dxa"/>
            <w:vAlign w:val="bottom"/>
            <w:tcBorders>
              <w:bottom w:val="single" w:sz="8" w:color="auto"/>
            </w:tcBorders>
          </w:tcPr>
          <w:p>
            <w:pPr>
              <w:spacing w:after="0"/>
              <w:rPr>
                <w:sz w:val="15"/>
                <w:szCs w:val="15"/>
                <w:color w:val="auto"/>
              </w:rPr>
            </w:pPr>
          </w:p>
        </w:tc>
        <w:tc>
          <w:tcPr>
            <w:tcW w:w="10740" w:type="dxa"/>
            <w:vAlign w:val="bottom"/>
            <w:tcBorders>
              <w:bottom w:val="single" w:sz="8" w:color="auto"/>
            </w:tcBorders>
          </w:tcPr>
          <w:p>
            <w:pPr>
              <w:spacing w:after="0"/>
              <w:rPr>
                <w:sz w:val="15"/>
                <w:szCs w:val="15"/>
                <w:color w:val="auto"/>
              </w:rPr>
            </w:pPr>
          </w:p>
        </w:tc>
      </w:tr>
      <w:tr>
        <w:trPr>
          <w:trHeight w:val="345"/>
        </w:trPr>
        <w:tc>
          <w:tcPr>
            <w:tcW w:w="540" w:type="dxa"/>
            <w:vAlign w:val="bottom"/>
          </w:tcPr>
          <w:p>
            <w:pPr>
              <w:spacing w:after="0"/>
              <w:rPr>
                <w:sz w:val="24"/>
                <w:szCs w:val="24"/>
                <w:color w:val="auto"/>
              </w:rPr>
            </w:pPr>
          </w:p>
        </w:tc>
        <w:tc>
          <w:tcPr>
            <w:tcW w:w="10740" w:type="dxa"/>
            <w:vAlign w:val="bottom"/>
          </w:tcPr>
          <w:p>
            <w:pPr>
              <w:jc w:val="right"/>
              <w:ind w:right="5152"/>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285"/>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Until</w:t>
            </w:r>
          </w:p>
        </w:tc>
        <w:tc>
          <w:tcPr>
            <w:tcW w:w="107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8"/>
              </w:rPr>
              <w:t>, all dealers that effect transactions in these securities, whether or not participating in this offering, may be required to deliver a prospectus. This is in addition to the dealers’</w:t>
            </w:r>
          </w:p>
        </w:tc>
      </w:tr>
    </w:tbl>
    <w:p>
      <w:pPr>
        <w:spacing w:after="0"/>
        <w:rPr>
          <w:sz w:val="20"/>
          <w:szCs w:val="20"/>
          <w:color w:val="auto"/>
        </w:rPr>
      </w:pPr>
      <w:r>
        <w:rPr>
          <w:rFonts w:ascii="Times New Roman" w:cs="Times New Roman" w:eastAsia="Times New Roman" w:hAnsi="Times New Roman"/>
          <w:sz w:val="14"/>
          <w:szCs w:val="14"/>
          <w:b w:val="1"/>
          <w:bCs w:val="1"/>
          <w:color w:val="auto"/>
        </w:rPr>
        <w:t>obligation to deliver a prospectus when acting as underwriters and with respect to their unsold allotments for subscriptions.</w:t>
      </w:r>
    </w:p>
    <w:p>
      <w:pPr>
        <w:sectPr>
          <w:pgSz w:w="11900" w:h="16838" w:orient="portrait"/>
          <w:cols w:equalWidth="0" w:num="1">
            <w:col w:w="11280"/>
          </w:cols>
          <w:pgMar w:left="300" w:top="1221"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Other Expenses of Issuance and Distribution.</w:t>
      </w:r>
    </w:p>
    <w:p>
      <w:pPr>
        <w:spacing w:after="0" w:line="128"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relating to the offering of the securities being registered hereby, all of which shall be borne by DLH Holdings Corp. All of such fees and expenses, except for the SEC registration fee, are estimated:</w:t>
      </w:r>
    </w:p>
    <w:p>
      <w:pPr>
        <w:sectPr>
          <w:pgSz w:w="11900" w:h="16838" w:orient="portrait"/>
          <w:cols w:equalWidth="0" w:num="1">
            <w:col w:w="11280"/>
          </w:cols>
          <w:pgMar w:left="300" w:top="1221" w:right="319" w:bottom="1440" w:gutter="0" w:footer="0" w:header="0"/>
        </w:sectPr>
      </w:pP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10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Printing Expenses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5975" cy="10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5975" cy="109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65975" cy="109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780" w:hanging="776"/>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11,020 *</w:t>
      </w: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5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6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6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6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6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9"/>
          <w:szCs w:val="9"/>
          <w:color w:val="auto"/>
        </w:rPr>
        <w:t>(1)</w:t>
      </w:r>
    </w:p>
    <w:p>
      <w:pPr>
        <w:spacing w:after="0" w:line="96" w:lineRule="exact"/>
        <w:rPr>
          <w:sz w:val="20"/>
          <w:szCs w:val="20"/>
          <w:color w:val="auto"/>
        </w:rPr>
      </w:pPr>
    </w:p>
    <w:p>
      <w:pPr>
        <w:sectPr>
          <w:pgSz w:w="11900" w:h="16838" w:orient="portrait"/>
          <w:cols w:equalWidth="0" w:num="2">
            <w:col w:w="9000" w:space="720"/>
            <w:col w:w="1560"/>
          </w:cols>
          <w:pgMar w:left="300" w:top="1221" w:right="319" w:bottom="1440" w:gutter="0" w:footer="0" w:header="0"/>
          <w:type w:val="continuous"/>
        </w:sectPr>
      </w:pPr>
    </w:p>
    <w:tbl>
      <w:tblPr>
        <w:tblLayout w:type="fixed"/>
        <w:tblInd w:w="20" w:type="dxa"/>
        <w:tblCellMar>
          <w:top w:w="0" w:type="dxa"/>
          <w:left w:w="0" w:type="dxa"/>
          <w:bottom w:w="0" w:type="dxa"/>
          <w:right w:w="0" w:type="dxa"/>
        </w:tblCellMar>
      </w:tblPr>
      <w:tr>
        <w:trPr>
          <w:trHeight w:val="114"/>
        </w:trPr>
        <w:tc>
          <w:tcPr>
            <w:tcW w:w="9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49"/>
        </w:trPr>
        <w:tc>
          <w:tcPr>
            <w:tcW w:w="9700" w:type="dxa"/>
            <w:vAlign w:val="bottom"/>
            <w:vMerge w:val="continue"/>
          </w:tcPr>
          <w:p>
            <w:pPr>
              <w:spacing w:after="0"/>
              <w:rPr>
                <w:sz w:val="4"/>
                <w:szCs w:val="4"/>
                <w:color w:val="auto"/>
              </w:rPr>
            </w:pPr>
          </w:p>
        </w:tc>
        <w:tc>
          <w:tcPr>
            <w:tcW w:w="64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8" w:lineRule="exact"/>
        <w:rPr>
          <w:sz w:val="20"/>
          <w:szCs w:val="20"/>
          <w:color w:val="auto"/>
        </w:rPr>
      </w:pPr>
    </w:p>
    <w:p>
      <w:pPr>
        <w:ind w:left="240" w:right="20" w:hanging="239"/>
        <w:spacing w:after="0" w:line="272" w:lineRule="auto"/>
        <w:tabs>
          <w:tab w:leader="none" w:pos="233"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registration fee of $11,020 previously paid in connection with unsold securities pursuant to Rule 415(a)(6). The securities registered pursuant to this registration statement consists of $100,000,000 of securities (the “Unsold Securities”) registered pursuant to the Registration Statement on Form S-3 (No. 333-272277). Pursuant to Rule 415(a)(6) under the Securities Act of 1933, as amended, the filing fees previously paid in connection with the Unsold Securities will continue to be applied</w:t>
      </w:r>
    </w:p>
    <w:p>
      <w:pPr>
        <w:ind w:left="240"/>
        <w:spacing w:after="0"/>
        <w:rPr>
          <w:sz w:val="20"/>
          <w:szCs w:val="20"/>
          <w:color w:val="auto"/>
        </w:rPr>
      </w:pPr>
      <w:r>
        <w:rPr>
          <w:rFonts w:ascii="Times New Roman" w:cs="Times New Roman" w:eastAsia="Times New Roman" w:hAnsi="Times New Roman"/>
          <w:sz w:val="11"/>
          <w:szCs w:val="11"/>
          <w:color w:val="auto"/>
        </w:rPr>
        <w:t>to the Unsold Securities.</w:t>
      </w:r>
    </w:p>
    <w:p>
      <w:pPr>
        <w:spacing w:after="0" w:line="6" w:lineRule="exact"/>
        <w:rPr>
          <w:sz w:val="20"/>
          <w:szCs w:val="20"/>
          <w:color w:val="auto"/>
        </w:rPr>
      </w:pPr>
    </w:p>
    <w:p>
      <w:pPr>
        <w:ind w:left="240" w:right="60" w:hanging="239"/>
        <w:spacing w:after="0" w:line="261" w:lineRule="auto"/>
        <w:tabs>
          <w:tab w:leader="none" w:pos="234"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fees are calculated based on the securities offered and the number of issuances and accordingly cannot be estimated at this time. These expenses will be reflected in the applicable prospectus supplement or as an exhibit to a Current Report on Form 8-K in reference to the specific offering of securities, if any, to which it relates.</w:t>
      </w:r>
    </w:p>
    <w:p>
      <w:pPr>
        <w:spacing w:after="0" w:line="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2"/>
          <w:szCs w:val="12"/>
          <w:b w:val="1"/>
          <w:bCs w:val="1"/>
          <w:color w:val="auto"/>
        </w:rPr>
        <w:t>Indemnification of Directors and Officers.</w:t>
      </w:r>
    </w:p>
    <w:p>
      <w:pPr>
        <w:spacing w:after="0" w:line="128"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2"/>
          <w:szCs w:val="12"/>
          <w:color w:val="auto"/>
        </w:rPr>
        <w:t>Our By-Laws require us to indemnify, to the full extent authorized by Section 14A:3-5 of the New Jersey Business Corporation Act, any person with respect to any civil, criminal, administrative or investigative action or proceeding instituted or threatened by reason of the fact that he, his testator or intestate is or was a director, officer or employee of our company or any predecessor of our company is or was serving at the request of our company or a predecessor of our company as a director, officer, employee or agent of another corporation, partnership, joint venture, trust or other enterprise.</w:t>
      </w:r>
    </w:p>
    <w:p>
      <w:pPr>
        <w:spacing w:after="0" w:line="68"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2"/>
          <w:szCs w:val="12"/>
          <w:color w:val="auto"/>
        </w:rPr>
        <w:t>Section 14A:3-5 of the New Jersey Business Corporation Act authorized the indemnification of directors and officers against liability incurred by reason of being a director or officer and against expenses (including attorneys’ fees) in connection with defending any action seeking to establish such liability, in the case of third-party claims, if the officer or director acted in good faith and in a manner he reasonably believed to be in or not opposed to the best interests of the corporation and if such officer or director shall not have been adjudged liable for negligence or misconduct, unless a court otherwise determines. Indemnification is also authorized with respect to any criminal action or proceeding where the officer or director had no reasonable cause to believe his conduct was unlawful.</w:t>
      </w:r>
    </w:p>
    <w:p>
      <w:pPr>
        <w:spacing w:after="0" w:line="7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In accordance with Section 14A:2-7 of the New Jersey Business Corporation Act, our Certificate of Incorporation eliminates the personal liability of officers and directors to our company and to stockholders for monetary damage for violation of a director’s duty owed to our company or our shareholders, under certain circumstances.</w:t>
      </w:r>
    </w:p>
    <w:p>
      <w:pPr>
        <w:spacing w:after="0" w:line="9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or persons controlling our company pursuant to the foregoing provisions, our company has been informed that in the opinion of the Securities and Exchange Commission such indemnification is against public policy as expressed in such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 - 1</w:t>
      </w:r>
    </w:p>
    <w:p>
      <w:pPr>
        <w:sectPr>
          <w:pgSz w:w="11900" w:h="16838" w:orient="portrait"/>
          <w:cols w:equalWidth="0" w:num="1">
            <w:col w:w="11280"/>
          </w:cols>
          <w:pgMar w:left="300" w:top="1221" w:right="319" w:bottom="1440" w:gutter="0" w:footer="0" w:header="0"/>
          <w:type w:val="continuous"/>
        </w:sectPr>
      </w:pPr>
    </w:p>
    <w:bookmarkStart w:id="48" w:name="page49"/>
    <w:bookmarkEnd w:id="48"/>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2"/>
          <w:szCs w:val="12"/>
          <w:b w:val="1"/>
          <w:bCs w:val="1"/>
          <w:color w:val="auto"/>
        </w:rPr>
        <w:t>List of Exhibits.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with this Registration Statement.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0140" w:type="dxa"/>
            <w:vAlign w:val="bottom"/>
            <w:gridSpan w:val="1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1014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Underwriting Agreement §</w:t>
            </w:r>
          </w:p>
        </w:tc>
        <w:tc>
          <w:tcPr>
            <w:tcW w:w="0" w:type="dxa"/>
            <w:vAlign w:val="bottom"/>
          </w:tcPr>
          <w:p>
            <w:pPr>
              <w:spacing w:after="0"/>
              <w:rPr>
                <w:sz w:val="1"/>
                <w:szCs w:val="1"/>
                <w:color w:val="auto"/>
              </w:rPr>
            </w:pPr>
          </w:p>
        </w:tc>
      </w:tr>
      <w:tr>
        <w:trPr>
          <w:trHeight w:val="145"/>
        </w:trPr>
        <w:tc>
          <w:tcPr>
            <w:tcW w:w="1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bottom w:val="single" w:sz="8" w:color="0000FF"/>
            </w:tcBorders>
            <w:gridSpan w:val="9"/>
          </w:tcPr>
          <w:p>
            <w:pPr>
              <w:spacing w:after="0" w:line="145" w:lineRule="exact"/>
              <w:rPr>
                <w:rFonts w:ascii="Times New Roman" w:cs="Times New Roman" w:eastAsia="Times New Roman" w:hAnsi="Times New Roman"/>
                <w:sz w:val="14"/>
                <w:szCs w:val="14"/>
                <w:color w:val="0000FF"/>
                <w:w w:val="96"/>
              </w:rPr>
            </w:pPr>
            <w:hyperlink r:id="rId23">
              <w:r>
                <w:rPr>
                  <w:rFonts w:ascii="Times New Roman" w:cs="Times New Roman" w:eastAsia="Times New Roman" w:hAnsi="Times New Roman"/>
                  <w:sz w:val="14"/>
                  <w:szCs w:val="14"/>
                  <w:color w:val="0000FF"/>
                  <w:w w:val="96"/>
                </w:rPr>
                <w:t>Amended and Restated Certificate of Incorporation (filed as Exhibit A to Definitive Proxy Statement dated May 1, 2000 as filed with the Securities and Exchange Commission).</w:t>
              </w:r>
            </w:hyperlink>
          </w:p>
        </w:tc>
        <w:tc>
          <w:tcPr>
            <w:tcW w:w="5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gridSpan w:val="12"/>
          </w:tcPr>
          <w:p>
            <w:pPr>
              <w:spacing w:after="0" w:line="153" w:lineRule="exact"/>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Amendment to Amended and Restated Certificate of Incorporation of DLH Holdings Corp. (filed as Exhibit B to Definitive Proxy Statement dated March 13, 2008 as filed with the</w:t>
              </w:r>
            </w:hyperlink>
          </w:p>
        </w:tc>
        <w:tc>
          <w:tcPr>
            <w:tcW w:w="0" w:type="dxa"/>
            <w:vAlign w:val="bottom"/>
          </w:tcPr>
          <w:p>
            <w:pPr>
              <w:spacing w:after="0"/>
              <w:rPr>
                <w:sz w:val="1"/>
                <w:szCs w:val="1"/>
                <w:color w:val="auto"/>
              </w:rPr>
            </w:pPr>
          </w:p>
        </w:tc>
      </w:tr>
      <w:tr>
        <w:trPr>
          <w:trHeight w:val="112"/>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760" w:type="dxa"/>
            <w:vAlign w:val="bottom"/>
            <w:tcBorders>
              <w:top w:val="single" w:sz="8" w:color="0000FF"/>
            </w:tcBorders>
            <w:gridSpan w:val="10"/>
          </w:tcPr>
          <w:p>
            <w:pPr>
              <w:spacing w:after="0" w:line="113" w:lineRule="exact"/>
              <w:rPr>
                <w:rFonts w:ascii="Times New Roman" w:cs="Times New Roman" w:eastAsia="Times New Roman" w:hAnsi="Times New Roman"/>
                <w:sz w:val="12"/>
                <w:szCs w:val="12"/>
                <w:color w:val="0000FF"/>
              </w:rPr>
            </w:pPr>
            <w:hyperlink r:id="rId24">
              <w:r>
                <w:rPr>
                  <w:rFonts w:ascii="Times New Roman" w:cs="Times New Roman" w:eastAsia="Times New Roman" w:hAnsi="Times New Roman"/>
                  <w:sz w:val="12"/>
                  <w:szCs w:val="12"/>
                  <w:color w:val="0000FF"/>
                </w:rPr>
                <w:t>Securities and Exchange Commission).</w:t>
              </w:r>
            </w:hyperlink>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2"/>
          </w:tcPr>
          <w:p>
            <w:pPr>
              <w:spacing w:after="0"/>
              <w:rPr>
                <w:rFonts w:ascii="Times New Roman" w:cs="Times New Roman" w:eastAsia="Times New Roman" w:hAnsi="Times New Roman"/>
                <w:sz w:val="14"/>
                <w:szCs w:val="14"/>
                <w:color w:val="0000FF"/>
                <w:w w:val="99"/>
              </w:rPr>
            </w:pPr>
            <w:hyperlink r:id="rId25">
              <w:r>
                <w:rPr>
                  <w:rFonts w:ascii="Times New Roman" w:cs="Times New Roman" w:eastAsia="Times New Roman" w:hAnsi="Times New Roman"/>
                  <w:sz w:val="14"/>
                  <w:szCs w:val="14"/>
                  <w:color w:val="0000FF"/>
                  <w:w w:val="99"/>
                </w:rPr>
                <w:t>Amendment to Amended and Restated Certificate of Incorporation of DLH Holdings Corp. filed June 25, 2012 (filed as Exhibit 3.1 to Current Report on Form 8-K filed on June 26,</w:t>
              </w:r>
            </w:hyperlink>
          </w:p>
        </w:tc>
        <w:tc>
          <w:tcPr>
            <w:tcW w:w="0" w:type="dxa"/>
            <w:vAlign w:val="bottom"/>
          </w:tcPr>
          <w:p>
            <w:pPr>
              <w:spacing w:after="0"/>
              <w:rPr>
                <w:sz w:val="1"/>
                <w:szCs w:val="1"/>
                <w:color w:val="auto"/>
              </w:rPr>
            </w:pPr>
          </w:p>
        </w:tc>
      </w:tr>
      <w:tr>
        <w:trPr>
          <w:trHeight w:val="112"/>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13" w:lineRule="exact"/>
              <w:rPr>
                <w:rFonts w:ascii="Times New Roman" w:cs="Times New Roman" w:eastAsia="Times New Roman" w:hAnsi="Times New Roman"/>
                <w:sz w:val="12"/>
                <w:szCs w:val="12"/>
                <w:color w:val="0000FF"/>
              </w:rPr>
            </w:pPr>
            <w:hyperlink r:id="rId25">
              <w:r>
                <w:rPr>
                  <w:rFonts w:ascii="Times New Roman" w:cs="Times New Roman" w:eastAsia="Times New Roman" w:hAnsi="Times New Roman"/>
                  <w:sz w:val="12"/>
                  <w:szCs w:val="12"/>
                  <w:color w:val="0000FF"/>
                </w:rPr>
                <w:t>2012).</w:t>
              </w:r>
            </w:hyperlink>
          </w:p>
        </w:tc>
        <w:tc>
          <w:tcPr>
            <w:tcW w:w="16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80" w:type="dxa"/>
            <w:vAlign w:val="bottom"/>
            <w:tcBorders>
              <w:top w:val="single" w:sz="8" w:color="0000FF"/>
            </w:tcBorders>
          </w:tcPr>
          <w:p>
            <w:pPr>
              <w:spacing w:after="0"/>
              <w:rPr>
                <w:sz w:val="9"/>
                <w:szCs w:val="9"/>
                <w:color w:val="auto"/>
              </w:rPr>
            </w:pPr>
          </w:p>
        </w:tc>
        <w:tc>
          <w:tcPr>
            <w:tcW w:w="860" w:type="dxa"/>
            <w:vAlign w:val="bottom"/>
            <w:tcBorders>
              <w:top w:val="single" w:sz="8" w:color="0000FF"/>
            </w:tcBorders>
          </w:tcPr>
          <w:p>
            <w:pPr>
              <w:spacing w:after="0"/>
              <w:rPr>
                <w:sz w:val="9"/>
                <w:szCs w:val="9"/>
                <w:color w:val="auto"/>
              </w:rPr>
            </w:pPr>
          </w:p>
        </w:tc>
        <w:tc>
          <w:tcPr>
            <w:tcW w:w="404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7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2"/>
          </w:tcPr>
          <w:p>
            <w:pPr>
              <w:spacing w:after="0"/>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Amendment to Amended and Restated Certificate of Incorporation filed February 12, 2015 (filed as Appendix A to the Proxy Statement dated December 31, 2014)</w:t>
              </w:r>
            </w:hyperlink>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8"/>
          </w:tcPr>
          <w:p>
            <w:pPr>
              <w:spacing w:after="0" w:line="153" w:lineRule="exact"/>
              <w:rPr>
                <w:rFonts w:ascii="Times New Roman" w:cs="Times New Roman" w:eastAsia="Times New Roman" w:hAnsi="Times New Roman"/>
                <w:sz w:val="14"/>
                <w:szCs w:val="14"/>
                <w:color w:val="0000FF"/>
                <w:w w:val="99"/>
              </w:rPr>
            </w:pPr>
            <w:hyperlink r:id="rId27">
              <w:r>
                <w:rPr>
                  <w:rFonts w:ascii="Times New Roman" w:cs="Times New Roman" w:eastAsia="Times New Roman" w:hAnsi="Times New Roman"/>
                  <w:sz w:val="14"/>
                  <w:szCs w:val="14"/>
                  <w:color w:val="0000FF"/>
                  <w:w w:val="99"/>
                </w:rPr>
                <w:t>Amended and Restated By-Laws of Registrant adopted as of August 27, 2020 (filed as Exhibit 3.1 to the Current Report on Form 8-K filed August 31, 2020).</w:t>
              </w:r>
            </w:hyperlink>
          </w:p>
        </w:tc>
        <w:tc>
          <w:tcPr>
            <w:tcW w:w="1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4"/>
                <w:szCs w:val="14"/>
                <w:color w:val="0000FF"/>
                <w:w w:val="96"/>
              </w:rPr>
            </w:pPr>
            <w:hyperlink r:id="rId28">
              <w:r>
                <w:rPr>
                  <w:rFonts w:ascii="Times New Roman" w:cs="Times New Roman" w:eastAsia="Times New Roman" w:hAnsi="Times New Roman"/>
                  <w:sz w:val="14"/>
                  <w:szCs w:val="14"/>
                  <w:color w:val="0000FF"/>
                  <w:w w:val="96"/>
                </w:rPr>
                <w:t>Form of Common Stock Certificate. (filed as Exhibit 4.1 to the Registrant’s Annual Report on Form 10-K for the fiscal year ended September 30, 2017).</w:t>
              </w:r>
            </w:hyperlink>
          </w:p>
        </w:tc>
        <w:tc>
          <w:tcPr>
            <w:tcW w:w="260" w:type="dxa"/>
            <w:vAlign w:val="bottom"/>
            <w:tcBorders>
              <w:top w:val="single" w:sz="8" w:color="0000FF"/>
            </w:tcBorders>
          </w:tcPr>
          <w:p>
            <w:pPr>
              <w:spacing w:after="0"/>
              <w:rPr>
                <w:sz w:val="13"/>
                <w:szCs w:val="13"/>
                <w:color w:val="auto"/>
              </w:rPr>
            </w:pPr>
          </w:p>
        </w:tc>
        <w:tc>
          <w:tcPr>
            <w:tcW w:w="16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Specimen Preferred Stock Certificate and Form of Certificate of Designation of Preferred Stock. §</w:t>
            </w:r>
          </w:p>
        </w:tc>
        <w:tc>
          <w:tcPr>
            <w:tcW w:w="0" w:type="dxa"/>
            <w:vAlign w:val="bottom"/>
          </w:tcPr>
          <w:p>
            <w:pPr>
              <w:spacing w:after="0"/>
              <w:rPr>
                <w:sz w:val="1"/>
                <w:szCs w:val="1"/>
                <w:color w:val="auto"/>
              </w:rPr>
            </w:pPr>
          </w:p>
        </w:tc>
      </w:tr>
      <w:tr>
        <w:trPr>
          <w:trHeight w:val="17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Warrant Certificate §</w:t>
            </w:r>
          </w:p>
        </w:tc>
        <w:tc>
          <w:tcPr>
            <w:tcW w:w="0" w:type="dxa"/>
            <w:vAlign w:val="bottom"/>
          </w:tcPr>
          <w:p>
            <w:pPr>
              <w:spacing w:after="0"/>
              <w:rPr>
                <w:sz w:val="1"/>
                <w:szCs w:val="1"/>
                <w:color w:val="auto"/>
              </w:rPr>
            </w:pPr>
          </w:p>
        </w:tc>
      </w:tr>
      <w:tr>
        <w:trPr>
          <w:trHeight w:val="17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Warrant Agreement §</w:t>
            </w:r>
          </w:p>
        </w:tc>
        <w:tc>
          <w:tcPr>
            <w:tcW w:w="0" w:type="dxa"/>
            <w:vAlign w:val="bottom"/>
          </w:tcPr>
          <w:p>
            <w:pPr>
              <w:spacing w:after="0"/>
              <w:rPr>
                <w:sz w:val="1"/>
                <w:szCs w:val="1"/>
                <w:color w:val="auto"/>
              </w:rPr>
            </w:pPr>
          </w:p>
        </w:tc>
      </w:tr>
      <w:tr>
        <w:trPr>
          <w:trHeight w:val="17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Rights Agreement and Rights Certificate §</w:t>
            </w:r>
          </w:p>
        </w:tc>
        <w:tc>
          <w:tcPr>
            <w:tcW w:w="0" w:type="dxa"/>
            <w:vAlign w:val="bottom"/>
          </w:tcPr>
          <w:p>
            <w:pPr>
              <w:spacing w:after="0"/>
              <w:rPr>
                <w:sz w:val="1"/>
                <w:szCs w:val="1"/>
                <w:color w:val="auto"/>
              </w:rPr>
            </w:pPr>
          </w:p>
        </w:tc>
      </w:tr>
      <w:tr>
        <w:trPr>
          <w:trHeight w:val="17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 §</w:t>
            </w:r>
          </w:p>
        </w:tc>
        <w:tc>
          <w:tcPr>
            <w:tcW w:w="0" w:type="dxa"/>
            <w:vAlign w:val="bottom"/>
          </w:tcPr>
          <w:p>
            <w:pPr>
              <w:spacing w:after="0"/>
              <w:rPr>
                <w:sz w:val="1"/>
                <w:szCs w:val="1"/>
                <w:color w:val="auto"/>
              </w:rPr>
            </w:pPr>
          </w:p>
        </w:tc>
      </w:tr>
      <w:tr>
        <w:trPr>
          <w:trHeight w:val="145"/>
        </w:trPr>
        <w:tc>
          <w:tcPr>
            <w:tcW w:w="1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FF"/>
              </w:rPr>
              <w:t xml:space="preserve">Opinion of Becker &amp; Poliakoff, P.A. </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FF"/>
              </w:rPr>
              <w:t>Consent of WithumSmith+Brown, PC.</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gridSpan w:val="12"/>
          </w:tcPr>
          <w:p>
            <w:pPr>
              <w:spacing w:after="0" w:line="153" w:lineRule="exact"/>
              <w:rPr>
                <w:sz w:val="20"/>
                <w:szCs w:val="20"/>
                <w:color w:val="auto"/>
              </w:rPr>
            </w:pPr>
            <w:r>
              <w:rPr>
                <w:rFonts w:ascii="Times New Roman" w:cs="Times New Roman" w:eastAsia="Times New Roman" w:hAnsi="Times New Roman"/>
                <w:sz w:val="14"/>
                <w:szCs w:val="14"/>
                <w:color w:val="0000FF"/>
              </w:rPr>
              <w:t xml:space="preserve">Consent of Becker &amp; Poliakoff, P.A. (included in Exhibit 5.1). </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bottom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FF"/>
                <w:w w:val="96"/>
              </w:rPr>
              <w:t>Power of Attorney (included on signature page of this Registration Statement)</w:t>
            </w:r>
          </w:p>
        </w:tc>
        <w:tc>
          <w:tcPr>
            <w:tcW w:w="59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140" w:hanging="1125"/>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Calculation of Filing Fee Tables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8" w:lineRule="exact"/>
        <w:rPr>
          <w:sz w:val="20"/>
          <w:szCs w:val="20"/>
          <w:color w:val="auto"/>
        </w:rPr>
      </w:pPr>
    </w:p>
    <w:p>
      <w:pPr>
        <w:ind w:left="240" w:hanging="239"/>
        <w:spacing w:after="0"/>
        <w:tabs>
          <w:tab w:leader="none" w:pos="2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2" w:lineRule="exact"/>
        <w:rPr>
          <w:sz w:val="20"/>
          <w:szCs w:val="20"/>
          <w:color w:val="auto"/>
        </w:rPr>
      </w:pPr>
    </w:p>
    <w:p>
      <w:pPr>
        <w:ind w:left="240" w:hanging="239"/>
        <w:spacing w:after="0"/>
        <w:tabs>
          <w:tab w:leader="none" w:pos="24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amendment to this Registration Statement or as an exhibit to a Current Report on Form 8-K and incorporated herein by reference in connection with an offering of securities registered hereunder.</w:t>
      </w:r>
    </w:p>
    <w:p>
      <w:pPr>
        <w:spacing w:after="0" w:line="1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2"/>
          <w:szCs w:val="12"/>
          <w:b w:val="1"/>
          <w:bCs w:val="1"/>
          <w:color w:val="auto"/>
        </w:rPr>
        <w:t>Undertakings.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24" w:lineRule="exact"/>
        <w:rPr>
          <w:sz w:val="20"/>
          <w:szCs w:val="20"/>
          <w:color w:val="auto"/>
        </w:rPr>
      </w:pPr>
    </w:p>
    <w:p>
      <w:pPr>
        <w:ind w:left="480" w:hanging="235"/>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23" w:lineRule="exact"/>
        <w:rPr>
          <w:rFonts w:ascii="Times New Roman" w:cs="Times New Roman" w:eastAsia="Times New Roman" w:hAnsi="Times New Roman"/>
          <w:sz w:val="14"/>
          <w:szCs w:val="14"/>
          <w:color w:val="auto"/>
        </w:rPr>
      </w:pPr>
    </w:p>
    <w:p>
      <w:pPr>
        <w:ind w:left="720" w:hanging="231"/>
        <w:spacing w:after="0"/>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23" w:lineRule="exact"/>
        <w:rPr>
          <w:rFonts w:ascii="Times New Roman" w:cs="Times New Roman" w:eastAsia="Times New Roman" w:hAnsi="Times New Roman"/>
          <w:sz w:val="14"/>
          <w:szCs w:val="14"/>
          <w:color w:val="auto"/>
        </w:rPr>
      </w:pPr>
    </w:p>
    <w:p>
      <w:pPr>
        <w:ind w:left="740" w:right="20" w:hanging="251"/>
        <w:spacing w:after="0" w:line="247" w:lineRule="auto"/>
        <w:tabs>
          <w:tab w:leader="none" w:pos="73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98" w:lineRule="exact"/>
        <w:rPr>
          <w:rFonts w:ascii="Times New Roman" w:cs="Times New Roman" w:eastAsia="Times New Roman" w:hAnsi="Times New Roman"/>
          <w:sz w:val="14"/>
          <w:szCs w:val="14"/>
          <w:color w:val="auto"/>
        </w:rPr>
      </w:pPr>
    </w:p>
    <w:p>
      <w:pPr>
        <w:ind w:left="5640" w:hanging="132"/>
        <w:spacing w:after="0"/>
        <w:tabs>
          <w:tab w:leader="none" w:pos="5640" w:val="left"/>
        </w:tabs>
        <w:numPr>
          <w:ilvl w:val="2"/>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w:t>
      </w:r>
    </w:p>
    <w:p>
      <w:pPr>
        <w:sectPr>
          <w:pgSz w:w="11900" w:h="16838" w:orient="portrait"/>
          <w:cols w:equalWidth="0" w:num="1">
            <w:col w:w="11280"/>
          </w:cols>
          <w:pgMar w:left="300" w:top="1221" w:right="319" w:bottom="1440" w:gutter="0" w:footer="0" w:header="0"/>
        </w:sectPr>
      </w:pPr>
    </w:p>
    <w:bookmarkStart w:id="49" w:name="page50"/>
    <w:bookmarkEnd w:id="49"/>
    <w:p>
      <w:pPr>
        <w:ind w:left="740" w:right="280" w:hanging="251"/>
        <w:spacing w:after="0" w:line="263" w:lineRule="auto"/>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9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(1)(i), (ii) and (iii) above do not apply if the information required to be included in a post-effective amendment by those paragraphs is contained in periodic reports filed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01" w:lineRule="exact"/>
        <w:rPr>
          <w:sz w:val="20"/>
          <w:szCs w:val="20"/>
          <w:color w:val="auto"/>
        </w:rPr>
      </w:pPr>
    </w:p>
    <w:p>
      <w:pPr>
        <w:ind w:left="480" w:right="200" w:hanging="235"/>
        <w:spacing w:after="0" w:line="263" w:lineRule="auto"/>
        <w:tabs>
          <w:tab w:leader="none" w:pos="47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3" w:lineRule="exact"/>
        <w:rPr>
          <w:rFonts w:ascii="Times New Roman" w:cs="Times New Roman" w:eastAsia="Times New Roman" w:hAnsi="Times New Roman"/>
          <w:sz w:val="14"/>
          <w:szCs w:val="14"/>
          <w:color w:val="auto"/>
        </w:rPr>
      </w:pPr>
    </w:p>
    <w:p>
      <w:pPr>
        <w:ind w:left="480" w:hanging="235"/>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w:t>
      </w:r>
    </w:p>
    <w:p>
      <w:pPr>
        <w:spacing w:after="0" w:line="123" w:lineRule="exact"/>
        <w:rPr>
          <w:rFonts w:ascii="Times New Roman" w:cs="Times New Roman" w:eastAsia="Times New Roman" w:hAnsi="Times New Roman"/>
          <w:sz w:val="14"/>
          <w:szCs w:val="14"/>
          <w:color w:val="auto"/>
        </w:rPr>
      </w:pPr>
    </w:p>
    <w:p>
      <w:pPr>
        <w:ind w:left="720" w:hanging="231"/>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23" w:lineRule="exact"/>
        <w:rPr>
          <w:rFonts w:ascii="Times New Roman" w:cs="Times New Roman" w:eastAsia="Times New Roman" w:hAnsi="Times New Roman"/>
          <w:sz w:val="14"/>
          <w:szCs w:val="14"/>
          <w:color w:val="auto"/>
        </w:rPr>
      </w:pPr>
    </w:p>
    <w:p>
      <w:pPr>
        <w:ind w:left="980" w:right="80" w:hanging="247"/>
        <w:spacing w:after="0" w:line="263" w:lineRule="auto"/>
        <w:tabs>
          <w:tab w:leader="none" w:pos="975"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4"/>
          <w:szCs w:val="14"/>
          <w:color w:val="auto"/>
        </w:rPr>
      </w:pPr>
    </w:p>
    <w:p>
      <w:pPr>
        <w:ind w:left="980" w:hanging="247"/>
        <w:spacing w:after="0" w:line="245" w:lineRule="auto"/>
        <w:tabs>
          <w:tab w:leader="none" w:pos="978"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6" w:lineRule="exact"/>
        <w:rPr>
          <w:rFonts w:ascii="Times New Roman" w:cs="Times New Roman" w:eastAsia="Times New Roman" w:hAnsi="Times New Roman"/>
          <w:sz w:val="14"/>
          <w:szCs w:val="14"/>
          <w:color w:val="auto"/>
        </w:rPr>
      </w:pPr>
    </w:p>
    <w:p>
      <w:pPr>
        <w:ind w:left="480" w:right="180" w:hanging="235"/>
        <w:spacing w:after="0" w:line="249" w:lineRule="auto"/>
        <w:tabs>
          <w:tab w:leader="none" w:pos="47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4" w:lineRule="exact"/>
        <w:rPr>
          <w:rFonts w:ascii="Times New Roman" w:cs="Times New Roman" w:eastAsia="Times New Roman" w:hAnsi="Times New Roman"/>
          <w:sz w:val="14"/>
          <w:szCs w:val="14"/>
          <w:color w:val="auto"/>
        </w:rPr>
      </w:pPr>
    </w:p>
    <w:p>
      <w:pPr>
        <w:ind w:left="720" w:hanging="231"/>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23" w:lineRule="exact"/>
        <w:rPr>
          <w:rFonts w:ascii="Times New Roman" w:cs="Times New Roman" w:eastAsia="Times New Roman" w:hAnsi="Times New Roman"/>
          <w:sz w:val="14"/>
          <w:szCs w:val="14"/>
          <w:color w:val="auto"/>
        </w:rPr>
      </w:pPr>
    </w:p>
    <w:p>
      <w:pPr>
        <w:ind w:left="720" w:hanging="231"/>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5"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- 3</w:t>
      </w:r>
    </w:p>
    <w:p>
      <w:pPr>
        <w:sectPr>
          <w:pgSz w:w="11900" w:h="16838" w:orient="portrait"/>
          <w:cols w:equalWidth="0" w:num="1">
            <w:col w:w="11280"/>
          </w:cols>
          <w:pgMar w:left="300" w:top="1225" w:right="319" w:bottom="1440" w:gutter="0" w:footer="0" w:header="0"/>
        </w:sectPr>
      </w:pPr>
    </w:p>
    <w:bookmarkStart w:id="50" w:name="page51"/>
    <w:bookmarkEnd w:id="50"/>
    <w:p>
      <w:pPr>
        <w:ind w:left="495" w:right="520" w:hanging="251"/>
        <w:spacing w:after="0" w:line="263" w:lineRule="auto"/>
        <w:tabs>
          <w:tab w:leader="none" w:pos="49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4"/>
          <w:szCs w:val="14"/>
          <w:color w:val="auto"/>
        </w:rPr>
      </w:pPr>
    </w:p>
    <w:p>
      <w:pPr>
        <w:ind w:left="475" w:hanging="231"/>
        <w:spacing w:after="0"/>
        <w:tabs>
          <w:tab w:leader="none" w:pos="47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3" w:lineRule="exact"/>
        <w:rPr>
          <w:rFonts w:ascii="Times New Roman" w:cs="Times New Roman" w:eastAsia="Times New Roman" w:hAnsi="Times New Roman"/>
          <w:sz w:val="14"/>
          <w:szCs w:val="14"/>
          <w:color w:val="auto"/>
        </w:rPr>
      </w:pPr>
    </w:p>
    <w:p>
      <w:pPr>
        <w:jc w:val="both"/>
        <w:ind w:left="235" w:right="40" w:hanging="235"/>
        <w:spacing w:after="0" w:line="249" w:lineRule="auto"/>
        <w:tabs>
          <w:tab w:leader="none" w:pos="2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4" w:lineRule="exact"/>
        <w:rPr>
          <w:rFonts w:ascii="Times New Roman" w:cs="Times New Roman" w:eastAsia="Times New Roman" w:hAnsi="Times New Roman"/>
          <w:sz w:val="14"/>
          <w:szCs w:val="14"/>
          <w:color w:val="auto"/>
        </w:rPr>
      </w:pPr>
    </w:p>
    <w:p>
      <w:pPr>
        <w:ind w:left="235" w:hanging="235"/>
        <w:spacing w:after="0"/>
        <w:tabs>
          <w:tab w:leader="none" w:pos="23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w:t>
      </w:r>
    </w:p>
    <w:p>
      <w:pPr>
        <w:spacing w:after="0" w:line="123" w:lineRule="exact"/>
        <w:rPr>
          <w:rFonts w:ascii="Times New Roman" w:cs="Times New Roman" w:eastAsia="Times New Roman" w:hAnsi="Times New Roman"/>
          <w:sz w:val="14"/>
          <w:szCs w:val="14"/>
          <w:color w:val="auto"/>
        </w:rPr>
      </w:pPr>
    </w:p>
    <w:p>
      <w:pPr>
        <w:ind w:left="495" w:hanging="251"/>
        <w:spacing w:after="0" w:line="263" w:lineRule="auto"/>
        <w:tabs>
          <w:tab w:leader="none" w:pos="49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94" w:lineRule="exact"/>
        <w:rPr>
          <w:rFonts w:ascii="Times New Roman" w:cs="Times New Roman" w:eastAsia="Times New Roman" w:hAnsi="Times New Roman"/>
          <w:sz w:val="14"/>
          <w:szCs w:val="14"/>
          <w:color w:val="auto"/>
        </w:rPr>
      </w:pPr>
    </w:p>
    <w:p>
      <w:pPr>
        <w:ind w:left="495" w:hanging="251"/>
        <w:spacing w:after="0" w:line="263" w:lineRule="auto"/>
        <w:tabs>
          <w:tab w:leader="none" w:pos="487"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235" w:right="100" w:hanging="235"/>
        <w:spacing w:after="0" w:line="246" w:lineRule="auto"/>
        <w:tabs>
          <w:tab w:leader="none" w:pos="2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99" w:lineRule="exact"/>
        <w:rPr>
          <w:rFonts w:ascii="Times New Roman" w:cs="Times New Roman" w:eastAsia="Times New Roman" w:hAnsi="Times New Roman"/>
          <w:sz w:val="14"/>
          <w:szCs w:val="14"/>
          <w:color w:val="auto"/>
        </w:rPr>
      </w:pPr>
    </w:p>
    <w:p>
      <w:pPr>
        <w:ind w:left="5395" w:hanging="132"/>
        <w:spacing w:after="0"/>
        <w:tabs>
          <w:tab w:leader="none" w:pos="5395"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w:t>
      </w:r>
    </w:p>
    <w:p>
      <w:pPr>
        <w:sectPr>
          <w:pgSz w:w="11900" w:h="16838" w:orient="portrait"/>
          <w:cols w:equalWidth="0" w:num="1">
            <w:col w:w="11015"/>
          </w:cols>
          <w:pgMar w:left="545" w:top="122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June 4, 2026.</w:t>
      </w:r>
    </w:p>
    <w:p>
      <w:pPr>
        <w:spacing w:after="0" w:line="12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DLH HOLDINGS CORP.</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17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Kathryn M. JohnBull</w:t>
            </w:r>
          </w:p>
        </w:tc>
      </w:tr>
      <w:tr>
        <w:trPr>
          <w:trHeight w:val="161"/>
        </w:trPr>
        <w:tc>
          <w:tcPr>
            <w:tcW w:w="7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Kathryn M. JohnBull</w:t>
            </w:r>
          </w:p>
        </w:tc>
      </w:tr>
      <w:tr>
        <w:trPr>
          <w:trHeight w:val="17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2"/>
          <w:szCs w:val="12"/>
          <w:color w:val="auto"/>
        </w:rPr>
        <w:t>KNOW ALL PERSONS BY THESE PRESENTS, that the undersigned officers and directors of DLH Holdings Corp., a New Jersey corporation, do hereby constitute and appoint Zachary C. Parker and Kathryn M. JohnBull, and each of them individually, the lawful attorneys-in-fact and agents, each with full power of substitution or re-substitution, with full power and authority to do any and all acts and things and to execute any and all instruments which said attorneys-in-fact and agents, or either one of them, determine may be necessary or advisable or required to enable said corporation to comply with the Securities Act of 1933, as amended, and any rules or regulation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thereto, and each of the undersigned hereby ratifies and confirms all that said attorneys-in-fact and agents, or either one of them, shall do or cause to be done by virtue hereof. This Power of Attorney may be signed in several counterparts. In witness whereof, each of the undersigned has executed this Power of Attorney as of the date indicated.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on Form S-3 has been signed by the following persons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3"/>
                <w:szCs w:val="13"/>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0" w:type="dxa"/>
            <w:vAlign w:val="bottom"/>
          </w:tcPr>
          <w:p>
            <w:pPr>
              <w:spacing w:after="0"/>
              <w:rPr>
                <w:sz w:val="1"/>
                <w:szCs w:val="1"/>
                <w:color w:val="auto"/>
              </w:rPr>
            </w:pPr>
          </w:p>
        </w:tc>
      </w:tr>
      <w:tr>
        <w:trPr>
          <w:trHeight w:val="193"/>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 Zachary C. Parker</w:t>
            </w:r>
          </w:p>
        </w:tc>
        <w:tc>
          <w:tcPr>
            <w:tcW w:w="80" w:type="dxa"/>
            <w:vAlign w:val="bottom"/>
          </w:tcPr>
          <w:p>
            <w:pPr>
              <w:spacing w:after="0"/>
              <w:rPr>
                <w:sz w:val="16"/>
                <w:szCs w:val="16"/>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Chief Executive Officer and President</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31"/>
        </w:trPr>
        <w:tc>
          <w:tcPr>
            <w:tcW w:w="3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Zachary C. Parker</w:t>
            </w:r>
          </w:p>
        </w:tc>
        <w:tc>
          <w:tcPr>
            <w:tcW w:w="80" w:type="dxa"/>
            <w:vAlign w:val="bottom"/>
          </w:tcPr>
          <w:p>
            <w:pPr>
              <w:spacing w:after="0"/>
              <w:rPr>
                <w:sz w:val="5"/>
                <w:szCs w:val="5"/>
                <w:color w:val="auto"/>
              </w:rPr>
            </w:pPr>
          </w:p>
        </w:tc>
        <w:tc>
          <w:tcPr>
            <w:tcW w:w="520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3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Frederick G. Wasserman</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6"/>
              </w:rPr>
              <w:t>Chairman of the Board</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Frederick G. Wasserman</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Judith L. Bjornaas</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Judith L. Bjornaas</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/s/ Dr. Elder Granger</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Dr. Elder Granger</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Dr. Frances M. Murphy</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Dr. Frances M. Murphy</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Austin J. Yerks III</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Austin J. Yerks III</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Stephen J. Zelkowicz</w:t>
            </w:r>
          </w:p>
        </w:tc>
        <w:tc>
          <w:tcPr>
            <w:tcW w:w="80" w:type="dxa"/>
            <w:vAlign w:val="bottom"/>
          </w:tcPr>
          <w:p>
            <w:pPr>
              <w:spacing w:after="0"/>
              <w:rPr>
                <w:sz w:val="18"/>
                <w:szCs w:val="18"/>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72"/>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Stephen J. Zelkowicz</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 Kathryn M. JohnBull</w:t>
            </w:r>
          </w:p>
        </w:tc>
        <w:tc>
          <w:tcPr>
            <w:tcW w:w="80" w:type="dxa"/>
            <w:vAlign w:val="bottom"/>
          </w:tcPr>
          <w:p>
            <w:pPr>
              <w:spacing w:after="0"/>
              <w:rPr>
                <w:sz w:val="16"/>
                <w:szCs w:val="16"/>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Chief Financial Officer and Treasurer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June 4, 2026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6"/>
              </w:rPr>
              <w:t>(Principal Financial and Accounting Officer)</w:t>
            </w:r>
          </w:p>
        </w:tc>
        <w:tc>
          <w:tcPr>
            <w:tcW w:w="24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Kathryn M. JohnBull</w:t>
            </w:r>
          </w:p>
        </w:tc>
        <w:tc>
          <w:tcPr>
            <w:tcW w:w="80" w:type="dxa"/>
            <w:vAlign w:val="bottom"/>
          </w:tcPr>
          <w:p>
            <w:pPr>
              <w:spacing w:after="0"/>
              <w:rPr>
                <w:sz w:val="6"/>
                <w:szCs w:val="6"/>
                <w:color w:val="auto"/>
              </w:rPr>
            </w:pPr>
          </w:p>
        </w:tc>
        <w:tc>
          <w:tcPr>
            <w:tcW w:w="520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 - 5</w:t>
      </w:r>
    </w:p>
    <w:p>
      <w:pPr>
        <w:sectPr>
          <w:pgSz w:w="11900" w:h="16838" w:orient="portrait"/>
          <w:cols w:equalWidth="0" w:num="1">
            <w:col w:w="11280"/>
          </w:cols>
          <w:pgMar w:left="300" w:top="1221" w:right="319" w:bottom="1440" w:gutter="0" w:footer="0" w:header="0"/>
        </w:sectPr>
      </w:pPr>
    </w:p>
    <w:bookmarkStart w:id="52" w:name="page53"/>
    <w:bookmarkEnd w:id="52"/>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6"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DLH Holdings Corp.</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2"/>
        </w:trPr>
        <w:tc>
          <w:tcPr>
            <w:tcW w:w="1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80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2"/>
        </w:trPr>
        <w:tc>
          <w:tcPr>
            <w:tcW w:w="1800" w:type="dxa"/>
            <w:vAlign w:val="bottom"/>
          </w:tcPr>
          <w:p>
            <w:pPr>
              <w:spacing w:after="0"/>
              <w:rPr>
                <w:sz w:val="7"/>
                <w:szCs w:val="7"/>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800" w:type="dxa"/>
            <w:vAlign w:val="bottom"/>
            <w:vMerge w:val="restart"/>
          </w:tcPr>
          <w:p>
            <w:pPr>
              <w:jc w:val="center"/>
              <w:ind w:left="739"/>
              <w:spacing w:after="0"/>
              <w:rPr>
                <w:sz w:val="20"/>
                <w:szCs w:val="20"/>
                <w:color w:val="auto"/>
              </w:rPr>
            </w:pPr>
            <w:r>
              <w:rPr>
                <w:rFonts w:ascii="Arial" w:cs="Arial" w:eastAsia="Arial" w:hAnsi="Arial"/>
                <w:sz w:val="16"/>
                <w:szCs w:val="16"/>
                <w:b w:val="1"/>
                <w:bCs w:val="1"/>
                <w:color w:val="auto"/>
              </w:rPr>
              <w:t>Amount of</w:t>
            </w: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00" w:type="dxa"/>
            <w:vAlign w:val="bottom"/>
          </w:tcPr>
          <w:p>
            <w:pPr>
              <w:jc w:val="center"/>
              <w:ind w:left="919"/>
              <w:spacing w:after="0" w:line="163" w:lineRule="exact"/>
              <w:rPr>
                <w:sz w:val="20"/>
                <w:szCs w:val="20"/>
                <w:color w:val="auto"/>
              </w:rPr>
            </w:pPr>
            <w:r>
              <w:rPr>
                <w:rFonts w:ascii="Arial" w:cs="Arial" w:eastAsia="Arial" w:hAnsi="Arial"/>
                <w:sz w:val="16"/>
                <w:szCs w:val="16"/>
                <w:b w:val="1"/>
                <w:bCs w:val="1"/>
                <w:color w:val="auto"/>
              </w:rPr>
              <w:t>Security</w:t>
            </w:r>
          </w:p>
        </w:tc>
        <w:tc>
          <w:tcPr>
            <w:tcW w:w="1700" w:type="dxa"/>
            <w:vAlign w:val="bottom"/>
            <w:gridSpan w:val="2"/>
            <w:vMerge w:val="continue"/>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Amount</w:t>
            </w:r>
          </w:p>
        </w:tc>
        <w:tc>
          <w:tcPr>
            <w:tcW w:w="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420" w:type="dxa"/>
            <w:vAlign w:val="bottom"/>
            <w:gridSpan w:val="2"/>
          </w:tcPr>
          <w:p>
            <w:pPr>
              <w:ind w:left="40"/>
              <w:spacing w:after="0" w:line="163" w:lineRule="exact"/>
              <w:rPr>
                <w:sz w:val="20"/>
                <w:szCs w:val="20"/>
                <w:color w:val="auto"/>
              </w:rPr>
            </w:pPr>
            <w:r>
              <w:rPr>
                <w:rFonts w:ascii="Arial" w:cs="Arial" w:eastAsia="Arial" w:hAnsi="Arial"/>
                <w:sz w:val="16"/>
                <w:szCs w:val="16"/>
                <w:b w:val="1"/>
                <w:bCs w:val="1"/>
                <w:color w:val="auto"/>
              </w:rPr>
              <w:t>Forward Forward</w:t>
            </w:r>
          </w:p>
        </w:tc>
        <w:tc>
          <w:tcPr>
            <w:tcW w:w="800" w:type="dxa"/>
            <w:vAlign w:val="bottom"/>
            <w:vMerge w:val="continue"/>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1800" w:type="dxa"/>
            <w:vAlign w:val="bottom"/>
          </w:tcPr>
          <w:p>
            <w:pPr>
              <w:jc w:val="center"/>
              <w:ind w:left="919"/>
              <w:spacing w:after="0"/>
              <w:rPr>
                <w:sz w:val="20"/>
                <w:szCs w:val="20"/>
                <w:color w:val="auto"/>
              </w:rPr>
            </w:pPr>
            <w:r>
              <w:rPr>
                <w:rFonts w:ascii="Arial" w:cs="Arial" w:eastAsia="Arial" w:hAnsi="Arial"/>
                <w:sz w:val="16"/>
                <w:szCs w:val="16"/>
                <w:b w:val="1"/>
                <w:bCs w:val="1"/>
                <w:color w:val="auto"/>
                <w:w w:val="96"/>
              </w:rPr>
              <w:t>Type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Class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00" w:type="dxa"/>
            <w:vAlign w:val="bottom"/>
          </w:tcPr>
          <w:p>
            <w:pPr>
              <w:jc w:val="center"/>
              <w:ind w:left="719"/>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-838835</wp:posOffset>
            </wp:positionV>
            <wp:extent cx="7216140" cy="775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216140" cy="775335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ind w:left="1180"/>
        <w:spacing w:after="0" w:line="186" w:lineRule="auto"/>
        <w:tabs>
          <w:tab w:leader="none" w:pos="1860" w:val="left"/>
          <w:tab w:leader="none" w:pos="278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$0.001</w:t>
      </w:r>
      <w:r>
        <w:rPr>
          <w:sz w:val="20"/>
          <w:szCs w:val="20"/>
          <w:color w:val="auto"/>
        </w:rPr>
        <w:tab/>
      </w:r>
      <w:r>
        <w:rPr>
          <w:rFonts w:ascii="Arial" w:cs="Arial" w:eastAsia="Arial" w:hAnsi="Arial"/>
          <w:sz w:val="12"/>
          <w:szCs w:val="12"/>
          <w:color w:val="auto"/>
        </w:rPr>
        <w:t>457(o)</w:t>
      </w:r>
    </w:p>
    <w:p>
      <w:pPr>
        <w:ind w:left="1880"/>
        <w:spacing w:after="0"/>
        <w:rPr>
          <w:sz w:val="20"/>
          <w:szCs w:val="20"/>
          <w:color w:val="auto"/>
        </w:rPr>
      </w:pPr>
      <w:r>
        <w:rPr>
          <w:rFonts w:ascii="Arial" w:cs="Arial" w:eastAsia="Arial" w:hAnsi="Arial"/>
          <w:sz w:val="16"/>
          <w:szCs w:val="16"/>
          <w:color w:val="auto"/>
        </w:rPr>
        <w:t>par value</w:t>
      </w:r>
    </w:p>
    <w:p>
      <w:pPr>
        <w:ind w:left="1880"/>
        <w:spacing w:after="0"/>
        <w:rPr>
          <w:sz w:val="20"/>
          <w:szCs w:val="20"/>
          <w:color w:val="auto"/>
        </w:rPr>
      </w:pPr>
      <w:r>
        <w:rPr>
          <w:rFonts w:ascii="Arial" w:cs="Arial" w:eastAsia="Arial" w:hAnsi="Arial"/>
          <w:sz w:val="16"/>
          <w:szCs w:val="16"/>
          <w:color w:val="auto"/>
        </w:rPr>
        <w:t>per</w:t>
      </w:r>
    </w:p>
    <w:p>
      <w:pPr>
        <w:ind w:left="1880"/>
        <w:spacing w:after="0"/>
        <w:rPr>
          <w:sz w:val="20"/>
          <w:szCs w:val="20"/>
          <w:color w:val="auto"/>
        </w:rPr>
      </w:pPr>
      <w:r>
        <w:rPr>
          <w:rFonts w:ascii="Arial" w:cs="Arial" w:eastAsia="Arial" w:hAnsi="Arial"/>
          <w:sz w:val="16"/>
          <w:szCs w:val="16"/>
          <w:color w:val="auto"/>
        </w:rPr>
        <w:t>share</w:t>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ind w:left="1180"/>
        <w:spacing w:after="0" w:line="186" w:lineRule="auto"/>
        <w:tabs>
          <w:tab w:leader="none" w:pos="1860" w:val="left"/>
          <w:tab w:leader="none" w:pos="278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$0.10</w:t>
      </w:r>
      <w:r>
        <w:rPr>
          <w:sz w:val="20"/>
          <w:szCs w:val="20"/>
          <w:color w:val="auto"/>
        </w:rPr>
        <w:tab/>
      </w:r>
      <w:r>
        <w:rPr>
          <w:rFonts w:ascii="Arial" w:cs="Arial" w:eastAsia="Arial" w:hAnsi="Arial"/>
          <w:sz w:val="12"/>
          <w:szCs w:val="12"/>
          <w:color w:val="auto"/>
        </w:rPr>
        <w:t>457(o)</w:t>
      </w:r>
    </w:p>
    <w:p>
      <w:pPr>
        <w:ind w:left="1880"/>
        <w:spacing w:after="0"/>
        <w:rPr>
          <w:sz w:val="20"/>
          <w:szCs w:val="20"/>
          <w:color w:val="auto"/>
        </w:rPr>
      </w:pPr>
      <w:r>
        <w:rPr>
          <w:rFonts w:ascii="Arial" w:cs="Arial" w:eastAsia="Arial" w:hAnsi="Arial"/>
          <w:sz w:val="16"/>
          <w:szCs w:val="16"/>
          <w:color w:val="auto"/>
        </w:rPr>
        <w:t>par value</w:t>
      </w:r>
    </w:p>
    <w:p>
      <w:pPr>
        <w:ind w:left="1880"/>
        <w:spacing w:after="0"/>
        <w:rPr>
          <w:sz w:val="20"/>
          <w:szCs w:val="20"/>
          <w:color w:val="auto"/>
        </w:rPr>
      </w:pPr>
      <w:r>
        <w:rPr>
          <w:rFonts w:ascii="Arial" w:cs="Arial" w:eastAsia="Arial" w:hAnsi="Arial"/>
          <w:sz w:val="16"/>
          <w:szCs w:val="16"/>
          <w:color w:val="auto"/>
        </w:rPr>
        <w:t>per</w:t>
      </w:r>
    </w:p>
    <w:p>
      <w:pPr>
        <w:ind w:left="1880"/>
        <w:spacing w:after="0"/>
        <w:rPr>
          <w:sz w:val="20"/>
          <w:szCs w:val="20"/>
          <w:color w:val="auto"/>
        </w:rPr>
      </w:pPr>
      <w:r>
        <w:rPr>
          <w:rFonts w:ascii="Arial" w:cs="Arial" w:eastAsia="Arial" w:hAnsi="Arial"/>
          <w:sz w:val="16"/>
          <w:szCs w:val="16"/>
          <w:color w:val="auto"/>
        </w:rPr>
        <w:t>share</w:t>
      </w:r>
    </w:p>
    <w:p>
      <w:pPr>
        <w:spacing w:after="0" w:line="24" w:lineRule="exact"/>
        <w:rPr>
          <w:sz w:val="20"/>
          <w:szCs w:val="20"/>
          <w:color w:val="auto"/>
        </w:rPr>
      </w:pPr>
    </w:p>
    <w:p>
      <w:pPr>
        <w:ind w:left="1180"/>
        <w:spacing w:after="0"/>
        <w:tabs>
          <w:tab w:leader="none" w:pos="1860" w:val="left"/>
          <w:tab w:leader="none" w:pos="2780" w:val="left"/>
        </w:tabs>
        <w:rPr>
          <w:sz w:val="20"/>
          <w:szCs w:val="20"/>
          <w:color w:val="auto"/>
        </w:rPr>
      </w:pPr>
      <w:r>
        <w:rPr>
          <w:rFonts w:ascii="Arial" w:cs="Arial" w:eastAsia="Arial" w:hAnsi="Arial"/>
          <w:sz w:val="16"/>
          <w:szCs w:val="16"/>
          <w:color w:val="auto"/>
        </w:rPr>
        <w:t>Other</w:t>
      </w:r>
      <w:r>
        <w:rPr>
          <w:sz w:val="20"/>
          <w:szCs w:val="20"/>
          <w:color w:val="auto"/>
        </w:rPr>
        <w:tab/>
      </w:r>
      <w:r>
        <w:rPr>
          <w:rFonts w:ascii="Arial" w:cs="Arial" w:eastAsia="Arial" w:hAnsi="Arial"/>
          <w:sz w:val="16"/>
          <w:szCs w:val="16"/>
          <w:color w:val="auto"/>
          <w:shd w:val="clear" w:color="auto" w:fill="E7E7E2"/>
        </w:rPr>
        <w:t>Warrants</w:t>
      </w:r>
      <w:r>
        <w:rPr>
          <w:sz w:val="20"/>
          <w:szCs w:val="20"/>
          <w:color w:val="auto"/>
        </w:rPr>
        <w:tab/>
      </w:r>
      <w:r>
        <w:rPr>
          <w:rFonts w:ascii="Arial" w:cs="Arial" w:eastAsia="Arial" w:hAnsi="Arial"/>
          <w:sz w:val="16"/>
          <w:szCs w:val="16"/>
          <w:color w:val="auto"/>
        </w:rPr>
        <w:t>457(o)</w:t>
      </w:r>
    </w:p>
    <w:p>
      <w:pPr>
        <w:spacing w:after="0" w:line="40" w:lineRule="exact"/>
        <w:rPr>
          <w:sz w:val="20"/>
          <w:szCs w:val="20"/>
          <w:color w:val="auto"/>
        </w:rPr>
      </w:pPr>
    </w:p>
    <w:p>
      <w:pPr>
        <w:ind w:left="1180"/>
        <w:spacing w:after="0"/>
        <w:tabs>
          <w:tab w:leader="none" w:pos="1860" w:val="left"/>
          <w:tab w:leader="none" w:pos="2780" w:val="left"/>
        </w:tabs>
        <w:rPr>
          <w:sz w:val="20"/>
          <w:szCs w:val="20"/>
          <w:color w:val="auto"/>
        </w:rPr>
      </w:pPr>
      <w:r>
        <w:rPr>
          <w:rFonts w:ascii="Arial" w:cs="Arial" w:eastAsia="Arial" w:hAnsi="Arial"/>
          <w:sz w:val="16"/>
          <w:szCs w:val="16"/>
          <w:color w:val="auto"/>
        </w:rPr>
        <w:t>Other</w:t>
      </w:r>
      <w:r>
        <w:rPr>
          <w:sz w:val="20"/>
          <w:szCs w:val="20"/>
          <w:color w:val="auto"/>
        </w:rPr>
        <w:tab/>
      </w:r>
      <w:r>
        <w:rPr>
          <w:rFonts w:ascii="Arial" w:cs="Arial" w:eastAsia="Arial" w:hAnsi="Arial"/>
          <w:sz w:val="16"/>
          <w:szCs w:val="16"/>
          <w:color w:val="auto"/>
        </w:rPr>
        <w:t>Rights</w:t>
      </w:r>
      <w:r>
        <w:rPr>
          <w:sz w:val="20"/>
          <w:szCs w:val="20"/>
          <w:color w:val="auto"/>
        </w:rPr>
        <w:tab/>
      </w:r>
      <w:r>
        <w:rPr>
          <w:rFonts w:ascii="Arial" w:cs="Arial" w:eastAsia="Arial" w:hAnsi="Arial"/>
          <w:sz w:val="16"/>
          <w:szCs w:val="16"/>
          <w:color w:val="auto"/>
        </w:rPr>
        <w:t>457(o)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17"/>
                <w:szCs w:val="17"/>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$0.001</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Equity</w:t>
            </w:r>
          </w:p>
        </w:tc>
        <w:tc>
          <w:tcPr>
            <w:tcW w:w="20" w:type="dxa"/>
            <w:vAlign w:val="bottom"/>
          </w:tcPr>
          <w:p>
            <w:pPr>
              <w:spacing w:after="0"/>
              <w:rPr>
                <w:sz w:val="7"/>
                <w:szCs w:val="7"/>
                <w:color w:val="auto"/>
              </w:rPr>
            </w:pPr>
          </w:p>
        </w:tc>
        <w:tc>
          <w:tcPr>
            <w:tcW w:w="7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3"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272277</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w:t>
            </w: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2" w:lineRule="exact"/>
              <w:rPr>
                <w:sz w:val="20"/>
                <w:szCs w:val="20"/>
                <w:color w:val="auto"/>
              </w:rPr>
            </w:pPr>
            <w:r>
              <w:rPr>
                <w:rFonts w:ascii="Arial" w:cs="Arial" w:eastAsia="Arial" w:hAnsi="Arial"/>
                <w:sz w:val="16"/>
                <w:szCs w:val="16"/>
                <w:color w:val="auto"/>
                <w:w w:val="98"/>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$0.10</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Equity</w:t>
            </w:r>
          </w:p>
        </w:tc>
        <w:tc>
          <w:tcPr>
            <w:tcW w:w="20" w:type="dxa"/>
            <w:vAlign w:val="bottom"/>
          </w:tcPr>
          <w:p>
            <w:pPr>
              <w:spacing w:after="0"/>
              <w:rPr>
                <w:sz w:val="7"/>
                <w:szCs w:val="7"/>
                <w:color w:val="auto"/>
              </w:rPr>
            </w:pPr>
          </w:p>
        </w:tc>
        <w:tc>
          <w:tcPr>
            <w:tcW w:w="7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3"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272277</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w:t>
            </w: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272277</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272277</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272277</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06/09/2023</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$ 11,020.00</w:t>
            </w: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272277</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8" w:lineRule="exact"/>
        <w:rPr>
          <w:sz w:val="20"/>
          <w:szCs w:val="20"/>
          <w:color w:val="auto"/>
        </w:rPr>
      </w:pPr>
    </w:p>
    <w:p>
      <w:pPr>
        <w:ind w:left="200" w:right="120"/>
        <w:spacing w:after="0" w:line="243" w:lineRule="auto"/>
        <w:rPr>
          <w:sz w:val="20"/>
          <w:szCs w:val="20"/>
          <w:color w:val="auto"/>
        </w:rPr>
      </w:pPr>
      <w:r>
        <w:rPr>
          <w:rFonts w:ascii="Arial" w:cs="Arial" w:eastAsia="Arial" w:hAnsi="Arial"/>
          <w:sz w:val="16"/>
          <w:szCs w:val="16"/>
          <w:color w:val="auto"/>
        </w:rPr>
        <w:t>a. Pursuant to Rule 415(a)(6) under the Securities Act, the securities registered hereunder consist of a maximum aggregate amount of $100,000,000 of unsold securities (the "Unsold Securities") previously covered by the registrant's registration statement on Form S-3 (File No. 333-272277) which was initially filed with the Securities and Exchange Commission on May 30, 2023 and became effective on June 9, 2023 (the "Prior Registration Statement"), and are included in this registration statement. The registrant paid a filing fee of $11,020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w:t>
      </w:r>
    </w:p>
    <w:p>
      <w:pPr>
        <w:sectPr>
          <w:pgSz w:w="11900" w:h="16838" w:orient="portrait"/>
          <w:cols w:equalWidth="0" w:num="1">
            <w:col w:w="11360"/>
          </w:cols>
          <w:pgMar w:left="300" w:top="141" w:right="239" w:bottom="0" w:gutter="0" w:footer="0" w:header="0"/>
        </w:sectPr>
      </w:pPr>
    </w:p>
    <w:bookmarkStart w:id="53" w:name="page54"/>
    <w:bookmarkEnd w:id="53"/>
    <w:p>
      <w:pPr>
        <w:ind w:left="200" w:right="700"/>
        <w:spacing w:after="0" w:line="278" w:lineRule="auto"/>
        <w:rPr>
          <w:sz w:val="20"/>
          <w:szCs w:val="20"/>
          <w:color w:val="auto"/>
        </w:rPr>
      </w:pPr>
      <w:r>
        <w:rPr>
          <w:rFonts w:ascii="Arial" w:cs="Arial" w:eastAsia="Arial" w:hAnsi="Arial"/>
          <w:sz w:val="16"/>
          <w:szCs w:val="16"/>
          <w:color w:val="auto"/>
        </w:rPr>
        <w:t>be registered on this registration statement. Pursuant to Rule 415(a)(6) under the Securities Act,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71526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In no event will the aggregate offering price of all securities sold by the registrant from time to time pursuant to this registration statement exceed</w:t>
      </w:r>
    </w:p>
    <w:p>
      <w:pPr>
        <w:spacing w:after="0" w:line="15" w:lineRule="exact"/>
        <w:rPr>
          <w:sz w:val="20"/>
          <w:szCs w:val="20"/>
          <w:color w:val="auto"/>
        </w:rPr>
      </w:pPr>
    </w:p>
    <w:p>
      <w:pPr>
        <w:ind w:left="200" w:right="120"/>
        <w:spacing w:after="0"/>
        <w:rPr>
          <w:sz w:val="20"/>
          <w:szCs w:val="20"/>
          <w:color w:val="auto"/>
        </w:rPr>
      </w:pPr>
      <w:r>
        <w:rPr>
          <w:rFonts w:ascii="Arial" w:cs="Arial" w:eastAsia="Arial" w:hAnsi="Arial"/>
          <w:sz w:val="16"/>
          <w:szCs w:val="16"/>
          <w:color w:val="auto"/>
        </w:rPr>
        <w:t>$100,000,000. An indeterminate amount of common stock, preferred stock, warrants, rights and/or units is being registered as may from time to time be offered under this registration statement at indeterminate prices, as shall have an aggregate initial offering price not to exceed $100,000,000. There is also being registered hereunder such currently indeterminate number of (i) shares of common stock or other securities of the registrant as may be issued upon conversion of, or in exchange for, convertible or exchangeable preferred stock registered hereby, or (ii) shares of preferred stock, common stock, rights or units as may be issued upon exercise of warrants registered hereby, as the case may be. Any securities registered hereunder may be sold separately or as units with the other securities registered hereunder. Separate consideration may not be received for registered securities that are issuable upon the exercise, conversion or exchange of other securities.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pursuant to anti-dilution provisions of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15264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jc w:val="center"/>
              <w:ind w:right="179"/>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tcBorders>
              <w:right w:val="single" w:sz="8" w:color="9ADAF6"/>
            </w:tcBorders>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restart"/>
            <w:shd w:val="clear" w:color="auto" w:fill="9ADAF6"/>
          </w:tcPr>
          <w:p>
            <w:pPr>
              <w:jc w:val="center"/>
              <w:ind w:right="28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660" w:type="dxa"/>
            <w:vAlign w:val="bottom"/>
            <w:gridSpan w:val="2"/>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2"/>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40" w:type="dxa"/>
            <w:vAlign w:val="bottom"/>
            <w:gridSpan w:val="3"/>
            <w:vMerge w:val="restart"/>
            <w:shd w:val="clear" w:color="auto" w:fill="9ADAF6"/>
          </w:tcPr>
          <w:p>
            <w:pPr>
              <w:jc w:val="center"/>
              <w:ind w:right="32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20" w:right="2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26" w:lineRule="auto"/>
        <w:rPr>
          <w:sz w:val="20"/>
          <w:szCs w:val="20"/>
          <w:color w:val="auto"/>
        </w:rPr>
      </w:pPr>
      <w:r>
        <w:rPr>
          <w:rFonts w:ascii="Times New Roman" w:cs="Times New Roman" w:eastAsia="Times New Roman" w:hAnsi="Times New Roman"/>
          <w:sz w:val="14"/>
          <w:szCs w:val="14"/>
          <w:b w:val="1"/>
          <w:bCs w:val="1"/>
          <w:color w:val="3F5163"/>
        </w:rPr>
        <w:t>Becker &amp; Poliakoff, P.A.</w:t>
      </w:r>
    </w:p>
    <w:p>
      <w:pPr>
        <w:spacing w:after="0" w:line="200" w:lineRule="auto"/>
        <w:rPr>
          <w:sz w:val="20"/>
          <w:szCs w:val="20"/>
          <w:color w:val="auto"/>
        </w:rPr>
      </w:pPr>
      <w:r>
        <w:rPr>
          <w:rFonts w:ascii="Times New Roman" w:cs="Times New Roman" w:eastAsia="Times New Roman" w:hAnsi="Times New Roman"/>
          <w:sz w:val="14"/>
          <w:szCs w:val="14"/>
          <w:b w:val="1"/>
          <w:bCs w:val="1"/>
          <w:color w:val="3F5163"/>
        </w:rPr>
        <w:t>45 Broadway, 17</w:t>
      </w:r>
      <w:r>
        <w:rPr>
          <w:rFonts w:ascii="Times New Roman" w:cs="Times New Roman" w:eastAsia="Times New Roman" w:hAnsi="Times New Roman"/>
          <w:sz w:val="17"/>
          <w:szCs w:val="17"/>
          <w:b w:val="1"/>
          <w:bCs w:val="1"/>
          <w:color w:val="3F5163"/>
          <w:vertAlign w:val="superscript"/>
        </w:rPr>
        <w:t>th</w:t>
      </w:r>
      <w:r>
        <w:rPr>
          <w:rFonts w:ascii="Times New Roman" w:cs="Times New Roman" w:eastAsia="Times New Roman" w:hAnsi="Times New Roman"/>
          <w:sz w:val="14"/>
          <w:szCs w:val="14"/>
          <w:b w:val="1"/>
          <w:bCs w:val="1"/>
          <w:color w:val="3F5163"/>
        </w:rPr>
        <w:t xml:space="preserve"> Floor</w:t>
      </w:r>
    </w:p>
    <w:p>
      <w:pPr>
        <w:spacing w:after="0"/>
        <w:rPr>
          <w:sz w:val="20"/>
          <w:szCs w:val="20"/>
          <w:color w:val="auto"/>
        </w:rPr>
      </w:pPr>
      <w:r>
        <w:rPr>
          <w:rFonts w:ascii="Times New Roman" w:cs="Times New Roman" w:eastAsia="Times New Roman" w:hAnsi="Times New Roman"/>
          <w:sz w:val="14"/>
          <w:szCs w:val="14"/>
          <w:b w:val="1"/>
          <w:bCs w:val="1"/>
          <w:color w:val="3F5163"/>
        </w:rPr>
        <w:t>New York, New York  10006</w:t>
      </w:r>
    </w:p>
    <w:p>
      <w:pPr>
        <w:spacing w:after="0"/>
        <w:rPr>
          <w:sz w:val="20"/>
          <w:szCs w:val="20"/>
          <w:color w:val="auto"/>
        </w:rPr>
      </w:pPr>
      <w:r>
        <w:rPr>
          <w:rFonts w:ascii="Times New Roman" w:cs="Times New Roman" w:eastAsia="Times New Roman" w:hAnsi="Times New Roman"/>
          <w:sz w:val="14"/>
          <w:szCs w:val="14"/>
          <w:b w:val="1"/>
          <w:bCs w:val="1"/>
          <w:color w:val="3F5163"/>
        </w:rPr>
        <w:t>Phone: (212) 599-3322  Fax: (212) 557-0295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1252220" cy="322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125222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June 4,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DLH Holdings Corp.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3565 Piedmont Road,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Building 3 – Suite 700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Georgia 30305</w:t>
      </w:r>
    </w:p>
    <w:p>
      <w:pPr>
        <w:spacing w:after="0" w:line="1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5"/>
          <w:szCs w:val="15"/>
          <w:b w:val="1"/>
          <w:bCs w:val="1"/>
          <w:color w:val="auto"/>
        </w:rPr>
        <w:t>Re:</w:t>
      </w:r>
      <w:r>
        <w:rPr>
          <w:sz w:val="20"/>
          <w:szCs w:val="20"/>
          <w:color w:val="auto"/>
        </w:rPr>
        <w:tab/>
      </w:r>
      <w:r>
        <w:rPr>
          <w:rFonts w:ascii="Times New Roman" w:cs="Times New Roman" w:eastAsia="Times New Roman" w:hAnsi="Times New Roman"/>
          <w:sz w:val="15"/>
          <w:szCs w:val="15"/>
          <w:color w:val="auto"/>
        </w:rPr>
        <w:t>DLH Holdings Corp.</w:t>
      </w:r>
    </w:p>
    <w:p>
      <w:pPr>
        <w:spacing w:after="0" w:line="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u w:val="single" w:color="auto"/>
          <w:color w:val="auto"/>
        </w:rPr>
        <w:t>Registration Statement on Form S-3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33" w:lineRule="exact"/>
        <w:rPr>
          <w:sz w:val="20"/>
          <w:szCs w:val="20"/>
          <w:color w:val="auto"/>
        </w:rPr>
      </w:pPr>
    </w:p>
    <w:p>
      <w:pPr>
        <w:jc w:val="both"/>
        <w:ind w:firstLine="488"/>
        <w:spacing w:after="0" w:line="254" w:lineRule="auto"/>
        <w:rPr>
          <w:sz w:val="20"/>
          <w:szCs w:val="20"/>
          <w:color w:val="auto"/>
        </w:rPr>
      </w:pPr>
      <w:r>
        <w:rPr>
          <w:rFonts w:ascii="Times New Roman" w:cs="Times New Roman" w:eastAsia="Times New Roman" w:hAnsi="Times New Roman"/>
          <w:sz w:val="15"/>
          <w:szCs w:val="15"/>
          <w:color w:val="auto"/>
        </w:rPr>
        <w:t>We have acted as counsel to DLH Holdings Corp., a New Jersey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Registration Statement on Form S-3 originally filed by the Company on the date hereof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with the U.S.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and any pre-effective amendment thereto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The Registration Statement includes a prospectus (the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which forms part of the Registration Statement. The Prospectus provides that it will be supplemented in the future by one or more prospectus supplements (each, a “</w:t>
      </w:r>
      <w:r>
        <w:rPr>
          <w:rFonts w:ascii="Times New Roman" w:cs="Times New Roman" w:eastAsia="Times New Roman" w:hAnsi="Times New Roman"/>
          <w:sz w:val="15"/>
          <w:szCs w:val="15"/>
          <w:u w:val="single" w:color="auto"/>
          <w:color w:val="auto"/>
        </w:rPr>
        <w:t>Prospectus Supplement</w:t>
      </w:r>
      <w:r>
        <w:rPr>
          <w:rFonts w:ascii="Times New Roman" w:cs="Times New Roman" w:eastAsia="Times New Roman" w:hAnsi="Times New Roman"/>
          <w:sz w:val="15"/>
          <w:szCs w:val="15"/>
          <w:color w:val="auto"/>
        </w:rPr>
        <w:t>”). The Registration Statement, including the Prospectus as supplemented from time to time by one or more Prospectus Supplements, will provide for the registration by the Company of:</w:t>
      </w:r>
    </w:p>
    <w:p>
      <w:pPr>
        <w:spacing w:after="0" w:line="104" w:lineRule="exact"/>
        <w:rPr>
          <w:sz w:val="20"/>
          <w:szCs w:val="20"/>
          <w:color w:val="auto"/>
        </w:rPr>
      </w:pPr>
    </w:p>
    <w:p>
      <w:pPr>
        <w:ind w:left="980" w:hanging="491"/>
        <w:spacing w:after="0"/>
        <w:tabs>
          <w:tab w:leader="none" w:pos="9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the Company’s common stock, $0.001 par value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w:t>
      </w:r>
    </w:p>
    <w:p>
      <w:pPr>
        <w:spacing w:after="0" w:line="142" w:lineRule="exact"/>
        <w:rPr>
          <w:rFonts w:ascii="Times New Roman" w:cs="Times New Roman" w:eastAsia="Times New Roman" w:hAnsi="Times New Roman"/>
          <w:sz w:val="15"/>
          <w:szCs w:val="15"/>
          <w:color w:val="auto"/>
        </w:rPr>
      </w:pPr>
    </w:p>
    <w:p>
      <w:pPr>
        <w:ind w:left="980" w:hanging="491"/>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shares of the Company’s preferred stock, $0.10 par value per share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w:t>
      </w:r>
    </w:p>
    <w:p>
      <w:pPr>
        <w:spacing w:after="0" w:line="141" w:lineRule="exact"/>
        <w:rPr>
          <w:rFonts w:ascii="Times New Roman" w:cs="Times New Roman" w:eastAsia="Times New Roman" w:hAnsi="Times New Roman"/>
          <w:sz w:val="16"/>
          <w:szCs w:val="16"/>
          <w:color w:val="auto"/>
        </w:rPr>
      </w:pPr>
    </w:p>
    <w:p>
      <w:pPr>
        <w:ind w:left="980" w:hanging="491"/>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warrants to purchase Common Stock or Preferred Stock (the “</w:t>
      </w:r>
      <w:r>
        <w:rPr>
          <w:rFonts w:ascii="Times New Roman" w:cs="Times New Roman" w:eastAsia="Times New Roman" w:hAnsi="Times New Roman"/>
          <w:sz w:val="15"/>
          <w:szCs w:val="15"/>
          <w:u w:val="single" w:color="auto"/>
          <w:color w:val="auto"/>
        </w:rPr>
        <w:t>Warrants</w:t>
      </w:r>
      <w:r>
        <w:rPr>
          <w:rFonts w:ascii="Times New Roman" w:cs="Times New Roman" w:eastAsia="Times New Roman" w:hAnsi="Times New Roman"/>
          <w:sz w:val="15"/>
          <w:szCs w:val="15"/>
          <w:color w:val="auto"/>
        </w:rPr>
        <w:t>”);</w:t>
      </w:r>
    </w:p>
    <w:p>
      <w:pPr>
        <w:spacing w:after="0" w:line="141" w:lineRule="exact"/>
        <w:rPr>
          <w:rFonts w:ascii="Times New Roman" w:cs="Times New Roman" w:eastAsia="Times New Roman" w:hAnsi="Times New Roman"/>
          <w:sz w:val="16"/>
          <w:szCs w:val="16"/>
          <w:color w:val="auto"/>
        </w:rPr>
      </w:pPr>
    </w:p>
    <w:p>
      <w:pPr>
        <w:ind w:left="960" w:hanging="471"/>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rights entitling or obligating the holders thereof to purchase Common Stock or one or more series of Preferred Stock (the “</w:t>
      </w:r>
      <w:r>
        <w:rPr>
          <w:rFonts w:ascii="Times New Roman" w:cs="Times New Roman" w:eastAsia="Times New Roman" w:hAnsi="Times New Roman"/>
          <w:sz w:val="15"/>
          <w:szCs w:val="15"/>
          <w:u w:val="single" w:color="auto"/>
          <w:color w:val="auto"/>
        </w:rPr>
        <w:t>Rights</w:t>
      </w:r>
      <w:r>
        <w:rPr>
          <w:rFonts w:ascii="Times New Roman" w:cs="Times New Roman" w:eastAsia="Times New Roman" w:hAnsi="Times New Roman"/>
          <w:sz w:val="15"/>
          <w:szCs w:val="15"/>
          <w:color w:val="auto"/>
        </w:rPr>
        <w:t>”); and</w:t>
      </w:r>
    </w:p>
    <w:p>
      <w:pPr>
        <w:spacing w:after="0" w:line="131" w:lineRule="exact"/>
        <w:rPr>
          <w:rFonts w:ascii="Times New Roman" w:cs="Times New Roman" w:eastAsia="Times New Roman" w:hAnsi="Times New Roman"/>
          <w:sz w:val="16"/>
          <w:szCs w:val="16"/>
          <w:color w:val="auto"/>
        </w:rPr>
      </w:pPr>
    </w:p>
    <w:p>
      <w:pPr>
        <w:ind w:left="980" w:hanging="491"/>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units (the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 each consisting of two or more types of the securities listed in clauses (i) through (iv) above.</w:t>
      </w:r>
    </w:p>
    <w:p>
      <w:pPr>
        <w:spacing w:after="0" w:line="121" w:lineRule="exact"/>
        <w:rPr>
          <w:sz w:val="20"/>
          <w:szCs w:val="20"/>
          <w:color w:val="auto"/>
        </w:rPr>
      </w:pPr>
    </w:p>
    <w:p>
      <w:pPr>
        <w:jc w:val="both"/>
        <w:ind w:firstLine="488"/>
        <w:spacing w:after="0" w:line="261" w:lineRule="auto"/>
        <w:rPr>
          <w:sz w:val="20"/>
          <w:szCs w:val="20"/>
          <w:color w:val="auto"/>
        </w:rPr>
      </w:pPr>
      <w:r>
        <w:rPr>
          <w:rFonts w:ascii="Times New Roman" w:cs="Times New Roman" w:eastAsia="Times New Roman" w:hAnsi="Times New Roman"/>
          <w:sz w:val="15"/>
          <w:szCs w:val="15"/>
          <w:color w:val="auto"/>
        </w:rPr>
        <w:t>The Common Stock, the Preferred Stock, the Warrants, the Rights and the Units, are collectively referred to herein as the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 The Securities are being registered for offering and sale from time to time on a delayed or continuous basis pursuant to Rule 415 under the Securities Act. The aggregate public offering price of the Securities being registered will be $100,000,000.</w:t>
      </w:r>
    </w:p>
    <w:p>
      <w:pPr>
        <w:sectPr>
          <w:pgSz w:w="11900" w:h="16838" w:orient="portrait"/>
          <w:cols w:equalWidth="0" w:num="1">
            <w:col w:w="11280"/>
          </w:cols>
          <w:pgMar w:left="300" w:top="123"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88"/>
        <w:spacing w:after="0" w:line="254" w:lineRule="auto"/>
        <w:rPr>
          <w:sz w:val="20"/>
          <w:szCs w:val="20"/>
          <w:color w:val="auto"/>
        </w:rPr>
      </w:pPr>
      <w:r>
        <w:rPr>
          <w:rFonts w:ascii="Times New Roman" w:cs="Times New Roman" w:eastAsia="Times New Roman" w:hAnsi="Times New Roman"/>
          <w:sz w:val="15"/>
          <w:szCs w:val="15"/>
          <w:color w:val="auto"/>
        </w:rPr>
        <w:t>Unless otherwise specified in the applicable Prospectus Supplement: (1) the Warrants will be issued under a warrant agreement to be dated on or about the date of the first issuance of the applicable Warrants thereunder (the “</w:t>
      </w:r>
      <w:r>
        <w:rPr>
          <w:rFonts w:ascii="Times New Roman" w:cs="Times New Roman" w:eastAsia="Times New Roman" w:hAnsi="Times New Roman"/>
          <w:sz w:val="15"/>
          <w:szCs w:val="15"/>
          <w:u w:val="single" w:color="auto"/>
          <w:color w:val="auto"/>
        </w:rPr>
        <w:t>Warrant Agreement</w:t>
      </w:r>
      <w:r>
        <w:rPr>
          <w:rFonts w:ascii="Times New Roman" w:cs="Times New Roman" w:eastAsia="Times New Roman" w:hAnsi="Times New Roman"/>
          <w:sz w:val="15"/>
          <w:szCs w:val="15"/>
          <w:color w:val="auto"/>
        </w:rPr>
        <w:t>”) to be entered into between the Company and a warrant agent (the “</w:t>
      </w:r>
      <w:r>
        <w:rPr>
          <w:rFonts w:ascii="Times New Roman" w:cs="Times New Roman" w:eastAsia="Times New Roman" w:hAnsi="Times New Roman"/>
          <w:sz w:val="15"/>
          <w:szCs w:val="15"/>
          <w:u w:val="single" w:color="auto"/>
          <w:color w:val="auto"/>
        </w:rPr>
        <w:t>Warrant Agent</w:t>
      </w:r>
      <w:r>
        <w:rPr>
          <w:rFonts w:ascii="Times New Roman" w:cs="Times New Roman" w:eastAsia="Times New Roman" w:hAnsi="Times New Roman"/>
          <w:sz w:val="15"/>
          <w:szCs w:val="15"/>
          <w:color w:val="auto"/>
        </w:rPr>
        <w:t>”); (2) any Rights will be issued under a rights agreement to be dated on or about the date of the first issuance of the applicable Rights thereunder (the “</w:t>
      </w:r>
      <w:r>
        <w:rPr>
          <w:rFonts w:ascii="Times New Roman" w:cs="Times New Roman" w:eastAsia="Times New Roman" w:hAnsi="Times New Roman"/>
          <w:sz w:val="15"/>
          <w:szCs w:val="15"/>
          <w:u w:val="single" w:color="auto"/>
          <w:color w:val="auto"/>
        </w:rPr>
        <w:t>Rights Agreement</w:t>
      </w:r>
      <w:r>
        <w:rPr>
          <w:rFonts w:ascii="Times New Roman" w:cs="Times New Roman" w:eastAsia="Times New Roman" w:hAnsi="Times New Roman"/>
          <w:sz w:val="15"/>
          <w:szCs w:val="15"/>
          <w:color w:val="auto"/>
        </w:rPr>
        <w:t>”) to be entered into between the Company and a rights agent (the “</w:t>
      </w:r>
      <w:r>
        <w:rPr>
          <w:rFonts w:ascii="Times New Roman" w:cs="Times New Roman" w:eastAsia="Times New Roman" w:hAnsi="Times New Roman"/>
          <w:sz w:val="15"/>
          <w:szCs w:val="15"/>
          <w:u w:val="single" w:color="auto"/>
          <w:color w:val="auto"/>
        </w:rPr>
        <w:t>Rights Agent</w:t>
      </w:r>
      <w:r>
        <w:rPr>
          <w:rFonts w:ascii="Times New Roman" w:cs="Times New Roman" w:eastAsia="Times New Roman" w:hAnsi="Times New Roman"/>
          <w:sz w:val="15"/>
          <w:szCs w:val="15"/>
          <w:color w:val="auto"/>
        </w:rPr>
        <w:t>”); and (3) any Units may be issued under a unit agreement to be dated on or about the date of the first issuance of the applicable Units thereunder (the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to be entered into between the Company and an agent for such Units (the “</w:t>
      </w:r>
      <w:r>
        <w:rPr>
          <w:rFonts w:ascii="Times New Roman" w:cs="Times New Roman" w:eastAsia="Times New Roman" w:hAnsi="Times New Roman"/>
          <w:sz w:val="15"/>
          <w:szCs w:val="15"/>
          <w:u w:val="single" w:color="auto"/>
          <w:color w:val="auto"/>
        </w:rPr>
        <w:t>Units Agent</w:t>
      </w:r>
      <w:r>
        <w:rPr>
          <w:rFonts w:ascii="Times New Roman" w:cs="Times New Roman" w:eastAsia="Times New Roman" w:hAnsi="Times New Roman"/>
          <w:sz w:val="15"/>
          <w:szCs w:val="15"/>
          <w:color w:val="auto"/>
        </w:rPr>
        <w:t>”); in each case substantially in the form that will be filed as one or more exhibits to the Registration Statement or as incorporated by reference therein.</w:t>
      </w:r>
    </w:p>
    <w:p>
      <w:pPr>
        <w:spacing w:after="0" w:line="104" w:lineRule="exact"/>
        <w:rPr>
          <w:sz w:val="20"/>
          <w:szCs w:val="20"/>
          <w:color w:val="auto"/>
        </w:rPr>
      </w:pPr>
    </w:p>
    <w:p>
      <w:pPr>
        <w:jc w:val="both"/>
        <w:ind w:firstLine="488"/>
        <w:spacing w:after="0" w:line="251" w:lineRule="auto"/>
        <w:rPr>
          <w:sz w:val="20"/>
          <w:szCs w:val="20"/>
          <w:color w:val="auto"/>
        </w:rPr>
      </w:pPr>
      <w:r>
        <w:rPr>
          <w:rFonts w:ascii="Times New Roman" w:cs="Times New Roman" w:eastAsia="Times New Roman" w:hAnsi="Times New Roman"/>
          <w:sz w:val="15"/>
          <w:szCs w:val="15"/>
          <w:color w:val="auto"/>
        </w:rPr>
        <w:t>In connection with this opinion, we have examined the Registration Statement, the exhibits thereto, the certificate of incorporation of the Company, as amended to the date hereof (the “</w:t>
      </w:r>
      <w:r>
        <w:rPr>
          <w:rFonts w:ascii="Times New Roman" w:cs="Times New Roman" w:eastAsia="Times New Roman" w:hAnsi="Times New Roman"/>
          <w:sz w:val="15"/>
          <w:szCs w:val="15"/>
          <w:u w:val="single" w:color="auto"/>
          <w:color w:val="auto"/>
        </w:rPr>
        <w:t>Charter</w:t>
      </w:r>
      <w:r>
        <w:rPr>
          <w:rFonts w:ascii="Times New Roman" w:cs="Times New Roman" w:eastAsia="Times New Roman" w:hAnsi="Times New Roman"/>
          <w:sz w:val="15"/>
          <w:szCs w:val="15"/>
          <w:color w:val="auto"/>
        </w:rPr>
        <w:t>”), the bylaws of the Company, as amended to the date hereof (the “</w:t>
      </w:r>
      <w:r>
        <w:rPr>
          <w:rFonts w:ascii="Times New Roman" w:cs="Times New Roman" w:eastAsia="Times New Roman" w:hAnsi="Times New Roman"/>
          <w:sz w:val="15"/>
          <w:szCs w:val="15"/>
          <w:u w:val="single" w:color="auto"/>
          <w:color w:val="auto"/>
        </w:rPr>
        <w:t>Bylaws</w:t>
      </w:r>
      <w:r>
        <w:rPr>
          <w:rFonts w:ascii="Times New Roman" w:cs="Times New Roman" w:eastAsia="Times New Roman" w:hAnsi="Times New Roman"/>
          <w:sz w:val="15"/>
          <w:szCs w:val="15"/>
          <w:color w:val="auto"/>
        </w:rPr>
        <w:t>”), and the resolutions (the “</w:t>
      </w:r>
      <w:r>
        <w:rPr>
          <w:rFonts w:ascii="Times New Roman" w:cs="Times New Roman" w:eastAsia="Times New Roman" w:hAnsi="Times New Roman"/>
          <w:sz w:val="15"/>
          <w:szCs w:val="15"/>
          <w:u w:val="single" w:color="auto"/>
          <w:color w:val="auto"/>
        </w:rPr>
        <w:t>Resolutions</w:t>
      </w:r>
      <w:r>
        <w:rPr>
          <w:rFonts w:ascii="Times New Roman" w:cs="Times New Roman" w:eastAsia="Times New Roman" w:hAnsi="Times New Roman"/>
          <w:sz w:val="15"/>
          <w:szCs w:val="15"/>
          <w:color w:val="auto"/>
        </w:rPr>
        <w:t>”) adopted by the board of directors of the Company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relating to the Registration Statement. We have also examined originals, or copies of originals certified to our satisfaction, of such agreements, documents, records, opinions, certificates, statements and other instruments of the Company and others as in our judgment are necessary or appropriate to enable us to render the opinion expressed below. We have also examined such questions of law, as we have considered relevant and necessary as a basis for this opinion letter.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absence of change in the information contained therein from the effective date of any such certificate; the legal capacity of all persons; and the due authorization, execution and delivery of all documents where authorization, execution and delivery are prerequisites to the effectiveness of such documents.</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For the purposes of this letter, we have assumed that, at the time of the issuance, sale and delivery of any of the Securities:</w:t>
      </w:r>
    </w:p>
    <w:p>
      <w:pPr>
        <w:spacing w:after="0" w:line="122" w:lineRule="exact"/>
        <w:rPr>
          <w:sz w:val="20"/>
          <w:szCs w:val="20"/>
          <w:color w:val="auto"/>
        </w:rPr>
      </w:pPr>
    </w:p>
    <w:p>
      <w:pPr>
        <w:ind w:firstLine="489"/>
        <w:spacing w:after="0" w:line="282" w:lineRule="auto"/>
        <w:tabs>
          <w:tab w:leader="none" w:pos="974"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and any amendments thereto (including post-effective amendments) shall have become effective and comply with all applicable laws at the time the Securities are offered or issued as contemplated by the Registration Statement;</w:t>
      </w:r>
    </w:p>
    <w:p>
      <w:pPr>
        <w:spacing w:after="0" w:line="72" w:lineRule="exact"/>
        <w:rPr>
          <w:rFonts w:ascii="Times New Roman" w:cs="Times New Roman" w:eastAsia="Times New Roman" w:hAnsi="Times New Roman"/>
          <w:sz w:val="15"/>
          <w:szCs w:val="15"/>
          <w:color w:val="auto"/>
        </w:rPr>
      </w:pPr>
    </w:p>
    <w:p>
      <w:pPr>
        <w:ind w:firstLine="489"/>
        <w:spacing w:after="0" w:line="282" w:lineRule="auto"/>
        <w:tabs>
          <w:tab w:leader="none" w:pos="975"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Prospectus and any and all Prospectus Supplements required by applicable laws have been prepared, delivered and filed with the Commission describing the Securities offered thereby and will comply with all applicable laws;</w:t>
      </w:r>
    </w:p>
    <w:p>
      <w:pPr>
        <w:spacing w:after="0" w:line="72" w:lineRule="exact"/>
        <w:rPr>
          <w:rFonts w:ascii="Times New Roman" w:cs="Times New Roman" w:eastAsia="Times New Roman" w:hAnsi="Times New Roman"/>
          <w:sz w:val="15"/>
          <w:szCs w:val="15"/>
          <w:color w:val="auto"/>
        </w:rPr>
      </w:pPr>
    </w:p>
    <w:p>
      <w:pPr>
        <w:ind w:firstLine="489"/>
        <w:spacing w:after="0" w:line="282" w:lineRule="auto"/>
        <w:tabs>
          <w:tab w:leader="none" w:pos="97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will be issued and sold in compliance with applicable federal and state securities laws and in the manner stated in the Registration Statement, the Prospectus and the applicable Prospectus Supplement;</w:t>
      </w:r>
    </w:p>
    <w:p>
      <w:pPr>
        <w:spacing w:after="0" w:line="82" w:lineRule="exact"/>
        <w:rPr>
          <w:rFonts w:ascii="Times New Roman" w:cs="Times New Roman" w:eastAsia="Times New Roman" w:hAnsi="Times New Roman"/>
          <w:sz w:val="15"/>
          <w:szCs w:val="15"/>
          <w:color w:val="auto"/>
        </w:rPr>
      </w:pPr>
    </w:p>
    <w:p>
      <w:pPr>
        <w:jc w:val="both"/>
        <w:ind w:firstLine="489"/>
        <w:spacing w:after="0" w:line="261" w:lineRule="auto"/>
        <w:tabs>
          <w:tab w:leader="none" w:pos="96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our opinion as to the Common Stock, that a sufficient number of shares of Common Stock are authorized and available for issuance under the provisions of the Company’s Charter in effect at the time of issuance and that the consideration for the issuance and sale of the Common Stock is in an amount that is not less than the par value of the Common Stock;</w:t>
      </w:r>
    </w:p>
    <w:p>
      <w:pPr>
        <w:sectPr>
          <w:pgSz w:w="11900" w:h="16838" w:orient="portrait"/>
          <w:cols w:equalWidth="0" w:num="1">
            <w:col w:w="11280"/>
          </w:cols>
          <w:pgMar w:left="300" w:top="102"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89"/>
        <w:spacing w:after="0" w:line="288" w:lineRule="auto"/>
        <w:tabs>
          <w:tab w:leader="none" w:pos="96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opinion as to the Preferred Stock, that a sufficient number of shares of Preferred Stock are authorized, designated and available for issuance in accordance with the provisions of a certificate of amendment to the Company’s Charter in effect at the time of issuance, establishing the designations, preferences and rights of the class or series of the Preferred Stock being issued and that the consideration for the issuance and sale of the Preferred Stock is in an amount that is not less than the par value of the Preferred Stock;</w:t>
      </w:r>
    </w:p>
    <w:p>
      <w:pPr>
        <w:spacing w:after="0" w:line="81" w:lineRule="exact"/>
        <w:rPr>
          <w:rFonts w:ascii="Times New Roman" w:cs="Times New Roman" w:eastAsia="Times New Roman" w:hAnsi="Times New Roman"/>
          <w:sz w:val="14"/>
          <w:szCs w:val="14"/>
          <w:color w:val="auto"/>
        </w:rPr>
      </w:pPr>
    </w:p>
    <w:p>
      <w:pPr>
        <w:ind w:firstLine="489"/>
        <w:spacing w:after="0" w:line="268" w:lineRule="auto"/>
        <w:tabs>
          <w:tab w:leader="none" w:pos="96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definitive purchase, underwriting, or similar agreement with respect to any Securities offered or issued, and any Warrant Agreement, Rights Agreement and Unit Agreement will have been duly authorized and validly executed and delivered by the Company and the other parties thereto;</w:t>
      </w:r>
    </w:p>
    <w:p>
      <w:pPr>
        <w:spacing w:after="0" w:line="92" w:lineRule="exact"/>
        <w:rPr>
          <w:rFonts w:ascii="Times New Roman" w:cs="Times New Roman" w:eastAsia="Times New Roman" w:hAnsi="Times New Roman"/>
          <w:sz w:val="15"/>
          <w:szCs w:val="15"/>
          <w:color w:val="auto"/>
        </w:rPr>
      </w:pPr>
    </w:p>
    <w:p>
      <w:pPr>
        <w:jc w:val="both"/>
        <w:ind w:firstLine="489"/>
        <w:spacing w:after="0" w:line="254" w:lineRule="auto"/>
        <w:tabs>
          <w:tab w:leader="none" w:pos="96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the Company of each definitive purchase, underwriting, or similar agreement and each Warrant Agreement, Rights Agreement, and Unit Agreement, as applicable, will not (A) contravene or violate the Charter or Bylaws, (B) violate any law, rule or regulation applicable to the Company, (C) 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spacing w:after="0" w:line="103" w:lineRule="exact"/>
        <w:rPr>
          <w:rFonts w:ascii="Times New Roman" w:cs="Times New Roman" w:eastAsia="Times New Roman" w:hAnsi="Times New Roman"/>
          <w:sz w:val="15"/>
          <w:szCs w:val="15"/>
          <w:color w:val="auto"/>
        </w:rPr>
      </w:pPr>
    </w:p>
    <w:p>
      <w:pPr>
        <w:jc w:val="both"/>
        <w:ind w:firstLine="489"/>
        <w:spacing w:after="0" w:line="259" w:lineRule="auto"/>
        <w:tabs>
          <w:tab w:leader="none" w:pos="96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the Company, or a duly authorized committee thereof, shall have taken such action as may be necessary, in conformity with the Charter and the Bylaws, to authorize the issuance and sale of such Securities, and if applicable, establish the relative rights and preferences of such Securities, or other terms of such Securities, in each case as set forth in or contemplated by the Registration Statement, the Prospectus and any Prospectus Supplements relating to such Securities and all resolutions of the Board of Directors or a duly authorized committee thereof shall be in full force and effect at all times at which the Securities are offered or sold by the Company;</w:t>
      </w:r>
    </w:p>
    <w:p>
      <w:pPr>
        <w:spacing w:after="0" w:line="89" w:lineRule="exact"/>
        <w:rPr>
          <w:rFonts w:ascii="Times New Roman" w:cs="Times New Roman" w:eastAsia="Times New Roman" w:hAnsi="Times New Roman"/>
          <w:sz w:val="15"/>
          <w:szCs w:val="15"/>
          <w:color w:val="auto"/>
        </w:rPr>
      </w:pPr>
    </w:p>
    <w:p>
      <w:pPr>
        <w:jc w:val="both"/>
        <w:ind w:firstLine="489"/>
        <w:spacing w:after="0" w:line="268" w:lineRule="auto"/>
        <w:tabs>
          <w:tab w:leader="none" w:pos="96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corporate action on the part of the Company as may be necessary to authorize the issuance and sale of such Securities has been taken and is in full force and effect at all times at which the Securities are offered or sold by the Company and the authorization thereof by the Company will not have been modified or rescinded, and there will not have occurred any change in law affecting the validity, legally binding character or enforceability thereof;</w:t>
      </w:r>
    </w:p>
    <w:p>
      <w:pPr>
        <w:spacing w:after="0" w:line="83" w:lineRule="exact"/>
        <w:rPr>
          <w:rFonts w:ascii="Times New Roman" w:cs="Times New Roman" w:eastAsia="Times New Roman" w:hAnsi="Times New Roman"/>
          <w:sz w:val="15"/>
          <w:szCs w:val="15"/>
          <w:color w:val="auto"/>
        </w:rPr>
      </w:pPr>
    </w:p>
    <w:p>
      <w:pPr>
        <w:ind w:firstLine="489"/>
        <w:spacing w:after="0" w:line="282" w:lineRule="auto"/>
        <w:tabs>
          <w:tab w:leader="none" w:pos="96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issuable upon conversion, exchange, or exercise of any Security being offered or issued will be duly authorized, created, and, if appropriate, reserved for issuance upon such conversion, exchange, or exercise; and</w:t>
      </w:r>
    </w:p>
    <w:p>
      <w:pPr>
        <w:spacing w:after="0" w:line="72" w:lineRule="exact"/>
        <w:rPr>
          <w:rFonts w:ascii="Times New Roman" w:cs="Times New Roman" w:eastAsia="Times New Roman" w:hAnsi="Times New Roman"/>
          <w:sz w:val="15"/>
          <w:szCs w:val="15"/>
          <w:color w:val="auto"/>
        </w:rPr>
      </w:pPr>
    </w:p>
    <w:p>
      <w:pPr>
        <w:jc w:val="both"/>
        <w:ind w:firstLine="489"/>
        <w:spacing w:after="0" w:line="259" w:lineRule="auto"/>
        <w:tabs>
          <w:tab w:leader="none" w:pos="96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terms of any of the Securities to be established subsequent to the date hereof, nor the sale, issuance and delivery of any of the Securities described in the Registration Statement, Prospectus and any Prospectus Supplement, nor the compliance by the Company with the terms thereof will (a) violate any applicable law or (b) will result in a default under or a violation of (x) any provision of any instrument or agreement then binding upon the Company, or (y) any restriction imposed by any court or governmental body having jurisdiction over the Company.</w:t>
      </w:r>
    </w:p>
    <w:p>
      <w:pPr>
        <w:spacing w:after="0" w:line="99" w:lineRule="exact"/>
        <w:rPr>
          <w:sz w:val="20"/>
          <w:szCs w:val="20"/>
          <w:color w:val="auto"/>
        </w:rPr>
      </w:pPr>
    </w:p>
    <w:p>
      <w:pPr>
        <w:jc w:val="both"/>
        <w:ind w:firstLine="488"/>
        <w:spacing w:after="0" w:line="261" w:lineRule="auto"/>
        <w:rPr>
          <w:sz w:val="20"/>
          <w:szCs w:val="20"/>
          <w:color w:val="auto"/>
        </w:rPr>
      </w:pPr>
      <w:r>
        <w:rPr>
          <w:rFonts w:ascii="Times New Roman" w:cs="Times New Roman" w:eastAsia="Times New Roman" w:hAnsi="Times New Roman"/>
          <w:sz w:val="15"/>
          <w:szCs w:val="15"/>
          <w:color w:val="auto"/>
        </w:rPr>
        <w:t>We have further assumed that each Warrant Agreement, each Rights Agreement, each Unit Agreement, each Warrant, each Right, and each Unit will be governed by the laws of the State of New Jersey. With respect to each instrument or agreement referred to in or otherwise relevant to the opinions set forth herein (each, an “</w:t>
      </w:r>
      <w:r>
        <w:rPr>
          <w:rFonts w:ascii="Times New Roman" w:cs="Times New Roman" w:eastAsia="Times New Roman" w:hAnsi="Times New Roman"/>
          <w:sz w:val="15"/>
          <w:szCs w:val="15"/>
          <w:u w:val="single" w:color="auto"/>
          <w:color w:val="auto"/>
        </w:rPr>
        <w:t>Instrument</w:t>
      </w:r>
      <w:r>
        <w:rPr>
          <w:rFonts w:ascii="Times New Roman" w:cs="Times New Roman" w:eastAsia="Times New Roman" w:hAnsi="Times New Roman"/>
          <w:sz w:val="15"/>
          <w:szCs w:val="15"/>
          <w:color w:val="auto"/>
        </w:rPr>
        <w:t>”), we have assumed, to the extent relevant to the opinions set forth herein, that (i) each party to such Instrument (if not a natural person) was duly organized or formed, as the</w:t>
      </w:r>
    </w:p>
    <w:p>
      <w:pPr>
        <w:sectPr>
          <w:pgSz w:w="11900" w:h="16838" w:orient="portrait"/>
          <w:cols w:equalWidth="0" w:num="1">
            <w:col w:w="11280"/>
          </w:cols>
          <w:pgMar w:left="300" w:top="102"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On the basis of, and in reliance on the foregoing and the qualifications stated above, we are of opinion that:</w:t>
      </w:r>
    </w:p>
    <w:p>
      <w:pPr>
        <w:spacing w:after="0" w:line="143" w:lineRule="exact"/>
        <w:rPr>
          <w:sz w:val="20"/>
          <w:szCs w:val="20"/>
          <w:color w:val="auto"/>
        </w:rPr>
      </w:pPr>
    </w:p>
    <w:p>
      <w:pPr>
        <w:jc w:val="both"/>
        <w:ind w:firstLine="489"/>
        <w:spacing w:after="0" w:line="251" w:lineRule="auto"/>
        <w:tabs>
          <w:tab w:leader="none" w:pos="976"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With respect to the Common Stock offered under the Registration Statement, provided that (i) the issuance and sale of the Common Stock is in conformity with and authorized under the Company’s then operative Charter and Bylaws and specifically authorized for issuance by proper action of the Board of Directors of the Company or an authorized committee thereof (the “Authorizing Resolutions”), (ii) the Registration Statement has become effective under the Securities Act, (iii) the shares of Common Stock have been issued and sold as contemplated by the Registration Statement, the Prospectus and the applicable Prospectus Supplement (and in accordance with any applicable duly authorized, executed and delivered purchase, underwriting or similar agreement, or upon conversion of any convertible Preferred Stock, upon exercise of any Warrants or Rights, or pursuant to any Units, in each case in accordance with their respective terms), and (iv) the Company has received the consideration provided for in the Authorizing Resolutions and such consideration per share is not less than the par value per share of the Common Stock, the Common Stock will be validly issued, fully paid and nonassessable.</w:t>
      </w:r>
    </w:p>
    <w:p>
      <w:pPr>
        <w:spacing w:after="0" w:line="128" w:lineRule="exact"/>
        <w:rPr>
          <w:rFonts w:ascii="Times New Roman" w:cs="Times New Roman" w:eastAsia="Times New Roman" w:hAnsi="Times New Roman"/>
          <w:sz w:val="16"/>
          <w:szCs w:val="16"/>
          <w:b w:val="1"/>
          <w:bCs w:val="1"/>
          <w:color w:val="auto"/>
        </w:rPr>
      </w:pPr>
    </w:p>
    <w:p>
      <w:pPr>
        <w:jc w:val="both"/>
        <w:ind w:firstLine="489"/>
        <w:spacing w:after="0" w:line="250" w:lineRule="auto"/>
        <w:tabs>
          <w:tab w:leader="none" w:pos="976"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With respect to the Preferred Stock offered under the Registration Statement, provided that (i) the terms of the shares of Preferred Stock and their issuance and sale are in conformity with the Charter and Bylaws; (ii) a statement with respect to the shares establishing the Preferred Stock shall have been filed with the Secretary of State of the State of New Jersey in the form and manner required by law; (iii) the issuance and sale of the Preferred Stock is in conformity with and authorized under the Company’s then operative Charter and Bylaws and specifically authorized for issuance by Authorizing Resolutions, (iv) the Registration Statement has become effective under the Securities Act, (v) the shares of Preferred Stock have been issued and sold as contemplated by the Registration Statement, the Prospectus and the applicable Prospectus Supplement (and in accordance with any applicable duly authorized, executed and delivered purchase, underwriting or similar agreement, or upon exercise of any Warrants or Rights, or pursuant to any Units, in each case in accordance with their respective terms), and (vi) the Company has received the consideration provided for in the Authorizing Resolutions and such consideration per share is not less than the par value per share of the Preferred Stock, the Preferred Stock will be validly issued, fully paid and nonassessable.</w:t>
      </w:r>
    </w:p>
    <w:p>
      <w:pPr>
        <w:spacing w:after="0" w:line="116" w:lineRule="exact"/>
        <w:rPr>
          <w:rFonts w:ascii="Times New Roman" w:cs="Times New Roman" w:eastAsia="Times New Roman" w:hAnsi="Times New Roman"/>
          <w:sz w:val="16"/>
          <w:szCs w:val="16"/>
          <w:b w:val="1"/>
          <w:bCs w:val="1"/>
          <w:color w:val="auto"/>
        </w:rPr>
      </w:pPr>
    </w:p>
    <w:p>
      <w:pPr>
        <w:jc w:val="both"/>
        <w:ind w:firstLine="489"/>
        <w:spacing w:after="0" w:line="275" w:lineRule="auto"/>
        <w:tabs>
          <w:tab w:leader="none" w:pos="976"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With respect to the Warrants issued under the Warrant Agreement and offered under the Registration Statement, provided that (i) the Warrant Agreement has been duly authorized by the Company and the Warrant Agent, if any, by all necessary corporate action; (ii) the Warrant Agreement has been duly executed and delivered by the Company and the Warrant Agent in the forms as filed as exhibits to the Registration Statement or as incorporated by reference therein; (iii) the terms of the Warrants and of their issuance and sale have been specifically authorized for issuance by the Authorizing Resolutions and duly established in conformity with the Warrant Agreement, Charter and Bylaws and as described in the Registration Statement, the Prospectus and the related Prospectus Supplement(s); (iv) the Registration Statement has become effective under the Securities Act, (v) if such Warrants are exercisable</w:t>
      </w:r>
    </w:p>
    <w:p>
      <w:pPr>
        <w:sectPr>
          <w:pgSz w:w="11900" w:h="16838" w:orient="portrait"/>
          <w:cols w:equalWidth="0" w:num="1">
            <w:col w:w="11280"/>
          </w:cols>
          <w:pgMar w:left="300" w:top="102"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for Common Stock, the actions described in paragraph 1 above shall have been taken; (vi) if such Warrants are exercisable for Preferred Stock, the actions described in paragraph 2 above shall have been taken; (vii) the Warrants have been duly executed and delivered by the Company and authenticated by the Warrant Agent pursuant to the Warrant Agreement and issued and sold as contemplated by the Registration Statement, the Prospectus and the applicable Prospectus Supplement, and (viii) the Company has received the consideration provided for in the Authorizing Resolutions, such Warrants will constitute valid and binding obligations of the Company enforceable against the Company in accordance with their terms.</w:t>
      </w:r>
    </w:p>
    <w:p>
      <w:pPr>
        <w:spacing w:after="0" w:line="109" w:lineRule="exact"/>
        <w:rPr>
          <w:sz w:val="20"/>
          <w:szCs w:val="20"/>
          <w:color w:val="auto"/>
        </w:rPr>
      </w:pPr>
    </w:p>
    <w:p>
      <w:pPr>
        <w:jc w:val="both"/>
        <w:ind w:firstLine="489"/>
        <w:spacing w:after="0" w:line="270" w:lineRule="auto"/>
        <w:tabs>
          <w:tab w:leader="none" w:pos="976"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With respect to the Rights issued under the Rights Agreement and offered under the Registration Statement, provided that (i) the Rights Agreement has been duly authorized by the Company and the Rights Agent by all necessary corporate action; (ii) the Rights Agreement has been duly executed and delivered by the Company and the Rights Agent in the forms as filed as exhibits to the Registration Statement or as incorporated by reference therein; (iii) the terms of the Rights and of their issuance and sale have been specifically authorized for issuance by the Authorizing Resolutions and duly established in conformity with the Rights Agreement, Charter and Bylaws and as described in the Registration Statement, the Prospectus and the related Prospectus Supplement(s); (iv) the Registration Statement has become effective under the Securities Act, (v) if such Rights relate to the issuance and sale of Common Stock, the actions described in paragraph 1 above shall have been taken; (vi) if such Rights relate to the issuance and sale of Preferred Stock, the actions described in paragraph 2 above shall have been taken; (vii) certificates representing such Rights have been duly executed and delivered by the Company and authenticated by the Rights Agent pursuant to the Rights Agreement and issued and sold as contemplated by the Registration Statement, the Prospectus and the applicable Prospectus Supplement, and (viii) the Company has received the consideration provided for in the Authorizing Resolutions, such Rights will constitute valid and binding obligations of the Company enforceable against the Company in accordance with their terms.</w:t>
      </w:r>
    </w:p>
    <w:p>
      <w:pPr>
        <w:spacing w:after="0" w:line="115" w:lineRule="exact"/>
        <w:rPr>
          <w:rFonts w:ascii="Times New Roman" w:cs="Times New Roman" w:eastAsia="Times New Roman" w:hAnsi="Times New Roman"/>
          <w:sz w:val="15"/>
          <w:szCs w:val="15"/>
          <w:b w:val="1"/>
          <w:bCs w:val="1"/>
          <w:color w:val="auto"/>
        </w:rPr>
      </w:pPr>
    </w:p>
    <w:p>
      <w:pPr>
        <w:jc w:val="both"/>
        <w:ind w:firstLine="489"/>
        <w:spacing w:after="0" w:line="250" w:lineRule="auto"/>
        <w:tabs>
          <w:tab w:leader="none" w:pos="976"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With respect to the Units issued under a Unit Agreement, if any, and offered under the Registration Statement, provided that (i) any such Unit Agreement has been duly authorized by the Company and the Unit Agent, if any, by all necessary corporate action; (ii) the Unit Agreement has been duly executed and delivered by the Company and the Unit Agent in the forms as filed as exhibits to the Registration Statement or as incorporated by reference therein; (iii) the terms of the Units and of their issuance and sale have been specifically authorized for issuance by the Authorizing Resolutions and duly established in conformity with the Unit Agreement, Charter and Bylaws, and as described in the Registration Statement, the Prospectus and the related Prospectus Supplement(s); (iv) the Registration Statement has become effective under the Securities Act, (v) if such Units relate to the issuance and sale of Common Stock, the actions described in paragraph 1 above shall have been taken; (vi) if such Units relate to the issuance and sale of Preferred Stock, the actions described in paragraph 2 above shall have been taken; (vii) if such Units relate to the issuance and sale of Warrants, the actions described in paragraph 3 above shall have been taken; (viii) if such Units relate to the issuance and sale of Rights, the actions described in paragraph 4 above shall have been taken; (ix) certificates representing such Units have been duly executed and delivered by the Company and, if required, authenticated by the Units Agent pursuant to the Units Agreement and issued and sold as contemplated by the Registration Statement, the Prospectus and the applicable Prospectus Supplement, and (x) the Company has received the consideration provided for in the Authorizing Resolutions, such Units will constitute valid and binding obligations of the Company enforceable against the Company in accordance with their terms.</w:t>
      </w:r>
    </w:p>
    <w:p>
      <w:pPr>
        <w:sectPr>
          <w:pgSz w:w="11900" w:h="16838" w:orient="portrait"/>
          <w:cols w:equalWidth="0" w:num="1">
            <w:col w:w="11280"/>
          </w:cols>
          <w:pgMar w:left="300" w:top="102"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6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88"/>
        <w:spacing w:after="0" w:line="254" w:lineRule="auto"/>
        <w:rPr>
          <w:sz w:val="20"/>
          <w:szCs w:val="20"/>
          <w:color w:val="auto"/>
        </w:rPr>
      </w:pPr>
      <w:r>
        <w:rPr>
          <w:rFonts w:ascii="Times New Roman" w:cs="Times New Roman" w:eastAsia="Times New Roman" w:hAnsi="Times New Roman"/>
          <w:sz w:val="15"/>
          <w:szCs w:val="15"/>
          <w:color w:val="auto"/>
        </w:rPr>
        <w:t>Our opinions above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 (iii) general equitable principles.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w:t>
      </w:r>
    </w:p>
    <w:p>
      <w:pPr>
        <w:spacing w:after="0" w:line="104" w:lineRule="exact"/>
        <w:rPr>
          <w:sz w:val="20"/>
          <w:szCs w:val="20"/>
          <w:color w:val="auto"/>
        </w:rPr>
      </w:pPr>
    </w:p>
    <w:p>
      <w:pPr>
        <w:jc w:val="both"/>
        <w:ind w:firstLine="488"/>
        <w:spacing w:after="0" w:line="254" w:lineRule="auto"/>
        <w:rPr>
          <w:sz w:val="20"/>
          <w:szCs w:val="20"/>
          <w:color w:val="auto"/>
        </w:rPr>
      </w:pPr>
      <w:r>
        <w:rPr>
          <w:rFonts w:ascii="Times New Roman" w:cs="Times New Roman" w:eastAsia="Times New Roman" w:hAnsi="Times New Roman"/>
          <w:sz w:val="15"/>
          <w:szCs w:val="15"/>
          <w:color w:val="auto"/>
        </w:rPr>
        <w:t>Members of our firm are admitted to the Bar of the State of New Jersey and New York, and we do not express any opinion as to the laws of any other jurisdiction other than the laws of the States of New Jersey and New York, and the United States federal laws. To the extent that any applicable document is stated to be governed by the laws of another jurisdiction, we have assumed for purposes of this opinion that the laws of such jurisdiction are identical to the state laws of the State of New Jersey. We express no opinion as to the laws, rules or regulations of any other jurisdiction and are not rendering any opinion as to compliance by the Company with any federal or state law, rule or regulation relating to securities, or to the sale or issuance thereof. The Securities may be offered and sold from time to time on a delayed or continuous basis, but this opinion is to be used only in connection with the offer and sale of the Securities while the Registration Statement is in effect.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We are opining only as to the matters expressly set forth herein, and no opinion should be inferred as to any other matters.</w:t>
      </w:r>
    </w:p>
    <w:p>
      <w:pPr>
        <w:spacing w:after="0" w:line="133" w:lineRule="exact"/>
        <w:rPr>
          <w:sz w:val="20"/>
          <w:szCs w:val="20"/>
          <w:color w:val="auto"/>
        </w:rPr>
      </w:pPr>
    </w:p>
    <w:p>
      <w:pPr>
        <w:jc w:val="both"/>
        <w:ind w:firstLine="488"/>
        <w:spacing w:after="0" w:line="254" w:lineRule="auto"/>
        <w:rPr>
          <w:sz w:val="20"/>
          <w:szCs w:val="20"/>
          <w:color w:val="auto"/>
        </w:rPr>
      </w:pPr>
      <w:r>
        <w:rPr>
          <w:rFonts w:ascii="Times New Roman" w:cs="Times New Roman" w:eastAsia="Times New Roman" w:hAnsi="Times New Roman"/>
          <w:sz w:val="15"/>
          <w:szCs w:val="15"/>
          <w:color w:val="auto"/>
        </w:rPr>
        <w:t>We also express no opinion herein as to any provision of any agreement (i) that may be deemed to or construed to waive any right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which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(ix) relating to choice of law or consent to jurisdiction.</w:t>
      </w:r>
    </w:p>
    <w:p>
      <w:pPr>
        <w:spacing w:after="0" w:line="94" w:lineRule="exact"/>
        <w:rPr>
          <w:sz w:val="20"/>
          <w:szCs w:val="20"/>
          <w:color w:val="auto"/>
        </w:rPr>
      </w:pPr>
    </w:p>
    <w:p>
      <w:pPr>
        <w:jc w:val="both"/>
        <w:ind w:firstLine="488"/>
        <w:spacing w:after="0" w:line="261" w:lineRule="auto"/>
        <w:rPr>
          <w:sz w:val="20"/>
          <w:szCs w:val="20"/>
          <w:color w:val="auto"/>
        </w:rPr>
      </w:pPr>
      <w:r>
        <w:rPr>
          <w:rFonts w:ascii="Times New Roman" w:cs="Times New Roman" w:eastAsia="Times New Roman" w:hAnsi="Times New Roman"/>
          <w:sz w:val="15"/>
          <w:szCs w:val="15"/>
          <w:color w:val="auto"/>
        </w:rPr>
        <w:t>This opinion is being furnished in accordance with the requirements of Item 601(b)(5) of Regulation S-K under the Securities Act, and no opinion is expressed herein as to any matter pertaining to the contents of the Registration Statement or Prospectus, other than as to the validity of the Common Stock and the Preferred Stock. We hereby advise you that a partner of this law firm serves as the corporate secretary of the Company and is the holder of shares of the Company’s common stock.</w:t>
      </w:r>
    </w:p>
    <w:p>
      <w:pPr>
        <w:spacing w:after="0" w:line="98" w:lineRule="exact"/>
        <w:rPr>
          <w:sz w:val="20"/>
          <w:szCs w:val="20"/>
          <w:color w:val="auto"/>
        </w:rPr>
      </w:pPr>
    </w:p>
    <w:p>
      <w:pPr>
        <w:jc w:val="both"/>
        <w:ind w:firstLine="488"/>
        <w:spacing w:after="0" w:line="282" w:lineRule="auto"/>
        <w:rPr>
          <w:sz w:val="20"/>
          <w:szCs w:val="20"/>
          <w:color w:val="auto"/>
        </w:rPr>
      </w:pPr>
      <w:r>
        <w:rPr>
          <w:rFonts w:ascii="Times New Roman" w:cs="Times New Roman" w:eastAsia="Times New Roman" w:hAnsi="Times New Roman"/>
          <w:sz w:val="15"/>
          <w:szCs w:val="15"/>
          <w:color w:val="auto"/>
        </w:rPr>
        <w:t>We hereby consent to the filing of this opinion as an exhibit to the Registration Statement and to the reference to our firm under the caption “Legal Matters” in the Prospectus which forms part of the Registration Statement and in any prospectus supplement. In giving such consent, we do not thereby</w:t>
      </w:r>
    </w:p>
    <w:p>
      <w:pPr>
        <w:sectPr>
          <w:pgSz w:w="11900" w:h="16838" w:orient="portrait"/>
          <w:cols w:equalWidth="0" w:num="1">
            <w:col w:w="11280"/>
          </w:cols>
          <w:pgMar w:left="300" w:top="102"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color w:val="auto"/>
        </w:rPr>
        <w:t>DLH Holdings Corp.</w:t>
      </w:r>
    </w:p>
    <w:p>
      <w:pPr>
        <w:jc w:val="right"/>
        <w:spacing w:after="0"/>
        <w:rPr>
          <w:sz w:val="20"/>
          <w:szCs w:val="20"/>
          <w:color w:val="auto"/>
        </w:rPr>
      </w:pPr>
      <w:r>
        <w:rPr>
          <w:rFonts w:ascii="Times New Roman" w:cs="Times New Roman" w:eastAsia="Times New Roman" w:hAnsi="Times New Roman"/>
          <w:sz w:val="14"/>
          <w:szCs w:val="14"/>
          <w:color w:val="auto"/>
        </w:rPr>
        <w:t>Page 7 of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admit that we are included in the category of persons whose consent is required under Section 7 of the Securities Act or the rules and regulations of the Commission promulgated thereunder.</w:t>
      </w:r>
    </w:p>
    <w:p>
      <w:pPr>
        <w:spacing w:after="0" w:line="1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2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5"/>
          <w:szCs w:val="15"/>
          <w:i w:val="1"/>
          <w:iCs w:val="1"/>
          <w:color w:val="auto"/>
        </w:rPr>
        <w:t>/s/ Becker &amp; Poliakoff,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18415</wp:posOffset>
            </wp:positionV>
            <wp:extent cx="267271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672715" cy="6350"/>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5"/>
          <w:szCs w:val="15"/>
          <w:color w:val="auto"/>
        </w:rPr>
        <w:t>Becker &amp; Poliakoff, P.A.</w:t>
      </w:r>
    </w:p>
    <w:p>
      <w:pPr>
        <w:sectPr>
          <w:pgSz w:w="11900" w:h="16838" w:orient="portrait"/>
          <w:cols w:equalWidth="0" w:num="1">
            <w:col w:w="11280"/>
          </w:cols>
          <w:pgMar w:left="300" w:top="102"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 on Form S-3 of our report dated December 10, 2025, with respect to our audit of the consolidated financial statements of DLH Holdings Corp., included in its Annual Report on Form 10-K for the year ended September 30, 2025 as filed with the Securities and Exchange Commission. We also consent to the reference to us under the caption “Experts” in the Registration Statement.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East Brunswick, New Jersey</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June 4, 2026</w:t>
      </w:r>
    </w:p>
    <w:sectPr>
      <w:pgSz w:w="11900" w:h="16838" w:orient="portrait"/>
      <w:cols w:equalWidth="0" w:num="1">
        <w:col w:w="11280"/>
      </w:cols>
      <w:pgMar w:left="300" w:top="1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212"/>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07"/>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5"/>
    </w:lvl>
  </w:abstractNum>
  <w:abstractNum w:abstractNumId="36">
    <w:nsid w:val="153EA438"/>
    <w:multiLevelType w:val="hybridMultilevel"/>
    <w:lvl w:ilvl="0">
      <w:lvlJc w:val="left"/>
      <w:lvlText w:val="(%1)"/>
      <w:numFmt w:val="lowerRoman"/>
      <w:start w:val="3"/>
    </w:lvl>
  </w:abstractNum>
  <w:abstractNum w:abstractNumId="37">
    <w:nsid w:val="3855585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38">
    <w:nsid w:val="70A64E2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9">
    <w:nsid w:val="6A2342EC"/>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35"/>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lowerRoman"/>
      <w:start w:val="5"/>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jpeg"/><Relationship Id="rId33" Type="http://schemas.openxmlformats.org/officeDocument/2006/relationships/image" Target="media/image14.png"/><Relationship Id="rId12" Type="http://schemas.openxmlformats.org/officeDocument/2006/relationships/hyperlink" Target="https://www.sec.gov/ix?doc=/Archives/edgar/data/0000785557/000078555725000159/dlhc-20250930.htm" TargetMode="External"/><Relationship Id="rId13" Type="http://schemas.openxmlformats.org/officeDocument/2006/relationships/hyperlink" Target="https://www.sec.gov/ix?doc=/Archives/edgar/data/0000785557/000078555726000013/dlhc-20251231.htm" TargetMode="External"/><Relationship Id="rId14" Type="http://schemas.openxmlformats.org/officeDocument/2006/relationships/hyperlink" Target="https://www.sec.gov/ix?doc=/Archives/edgar/data/0000785557/000162828026031322/dlhc-20260331.htm" TargetMode="External"/><Relationship Id="rId15" Type="http://schemas.openxmlformats.org/officeDocument/2006/relationships/hyperlink" Target="https://www.sec.gov/ix?doc=/Archives/edgar/data/0000785557/000078555725000141/dlhc-20250926.htm" TargetMode="External"/><Relationship Id="rId16" Type="http://schemas.openxmlformats.org/officeDocument/2006/relationships/hyperlink" Target="https://www.sec.gov/ix?doc=/Archives/edgar/data/0000785557/000162828026018861/dlhc-20260312.htm" TargetMode="External"/><Relationship Id="rId17" Type="http://schemas.openxmlformats.org/officeDocument/2006/relationships/hyperlink" Target="https://www.sec.gov/ix?doc=/Archives/edgar/data/0000785557/000078555726000006/dlhc-20260127.htm" TargetMode="External"/><Relationship Id="rId23" Type="http://schemas.openxmlformats.org/officeDocument/2006/relationships/hyperlink" Target="https://www.sec.gov/Archives/edgar/data/785557/000095012300004567/0000950123-00-004567.txt" TargetMode="External"/><Relationship Id="rId24" Type="http://schemas.openxmlformats.org/officeDocument/2006/relationships/hyperlink" Target="https://www.sec.gov/Archives/edgar/data/785557/000095013608001315/file1.htm#pageB-1" TargetMode="External"/><Relationship Id="rId25" Type="http://schemas.openxmlformats.org/officeDocument/2006/relationships/hyperlink" Target="https://www.sec.gov/Archives/edgar/data/785557/000110465912045901/a12-15400_1ex3d1.htm" TargetMode="External"/><Relationship Id="rId26" Type="http://schemas.openxmlformats.org/officeDocument/2006/relationships/hyperlink" Target="https://www.sec.gov/Archives/edgar/data/785557/000078555714000068/a2015proxystatementannualm.htm#s448E7A892B875B5B561A97BD169B3906" TargetMode="External"/><Relationship Id="rId27" Type="http://schemas.openxmlformats.org/officeDocument/2006/relationships/hyperlink" Target="https://www.sec.gov/Archives/edgar/data/785557/000078555720000003/amendedandrestatedbyla.htm" TargetMode="External"/><Relationship Id="rId28" Type="http://schemas.openxmlformats.org/officeDocument/2006/relationships/hyperlink" Target="https://www.sec.gov/Archives/edgar/data/785557/000162828017012307/ex41dlhspecimencertn01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2026-06-04T15:30:54Z</dcterms:created>
  <dcterms:modified xsi:type="dcterms:W3CDTF">2026-06-04T15:30:54Z</dcterms:modified>
</cp:coreProperties>
</file>