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8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8590"/>
                    </a:xfrm>
                    <a:prstGeom prst="rect">
                      <a:avLst/>
                    </a:prstGeom>
                    <a:noFill/>
                  </pic:spPr>
                </pic:pic>
              </a:graphicData>
            </a:graphic>
          </wp:anchor>
        </w:drawing>
      </w:r>
    </w:p>
    <w:p>
      <w:pPr>
        <w:spacing w:after="0" w:line="1222" w:lineRule="exact"/>
        <w:rPr>
          <w:sz w:val="24"/>
          <w:szCs w:val="24"/>
          <w:color w:val="auto"/>
        </w:rPr>
      </w:pPr>
    </w:p>
    <w:p>
      <w:pPr>
        <w:sectPr>
          <w:pgSz w:w="11900" w:h="16892"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Mink Brook Asset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DLH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201 SUMMA STREET</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2"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33405</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2"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05/20/2026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7"/>
                <w:szCs w:val="17"/>
                <w:color w:val="0000FF"/>
              </w:rPr>
              <w:t>120</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2,060,271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05/21/2026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207"/>
              <w:spacing w:after="0"/>
              <w:rPr>
                <w:sz w:val="20"/>
                <w:szCs w:val="20"/>
                <w:color w:val="auto"/>
              </w:rPr>
            </w:pPr>
            <w:r>
              <w:rPr>
                <w:rFonts w:ascii="Times New Roman" w:cs="Times New Roman" w:eastAsia="Times New Roman" w:hAnsi="Times New Roman"/>
                <w:sz w:val="17"/>
                <w:szCs w:val="17"/>
                <w:color w:val="0000FF"/>
              </w:rPr>
              <w:t>1,584</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2,061,855</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0000FF"/>
              </w:rPr>
              <w:t>694,322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ind w:left="460"/>
              <w:spacing w:after="0" w:line="210" w:lineRule="exact"/>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320" w:type="dxa"/>
            <w:vAlign w:val="bottom"/>
            <w:tcBorders>
              <w:bottom w:val="single" w:sz="8" w:color="2C2C2C"/>
            </w:tcBorders>
            <w:gridSpan w:val="8"/>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Partners LP (the "Fund"). As the investment manager of the Fund, Mink Brook Asset Management LLC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Opportunity Fund LP (the "Fund"). As the investment manager of the Fund, Mink Brook Asset Management LLC may be deemed to beneficially own the securities owned directly by the Fund.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Mueller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05/21/2026</w:t>
            </w: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92"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205" TargetMode="External"/><Relationship Id="rId14"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2026-05-21T15:32:25Z</dcterms:created>
  <dcterms:modified xsi:type="dcterms:W3CDTF">2026-05-21T15:32:25Z</dcterms:modified>
</cp:coreProperties>
</file>